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ГЕНЕРАЛЬНЫЙ ПЛАН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«Лонки-Ворцинское»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1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Положение о территориальном планировании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о территориальном планировании муниципального образования «Лонки-Ворцинское» подготовлено на основании Распоряжения Правительства Удмуртской Республики </w:t>
      </w:r>
      <w:r>
        <w:rPr>
          <w:rFonts w:ascii="Times New Roman" w:hAnsi="Times New Roman"/>
          <w:color w:val="000000"/>
          <w:sz w:val="26"/>
          <w:szCs w:val="26"/>
        </w:rPr>
        <w:t>«На разработку Генерального плана муниципального образования «Лонки-Ворцинское» Игринского района Удмуртской Республики</w:t>
      </w:r>
      <w:r>
        <w:rPr>
          <w:rFonts w:ascii="Times New Roman" w:hAnsi="Times New Roman"/>
          <w:sz w:val="26"/>
          <w:szCs w:val="26"/>
        </w:rPr>
        <w:t>» в соответствии со статьей 23 Градостроительного кодекса Российской Федерации, в качестве текстовой части материалов в составе Генерального плана муниципального образования «Лонки-Ворцинское», содержит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216E4C" w:rsidRDefault="00216E4C">
      <w:pPr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 «Правила землепользования и застройки муниципального образования «Лонки-Ворцинское» Игринского района Удмуртской Республики» был разработан ООО «Институт «Удмуртгражданпроект» и утвержден Постановлением Главы муниципального образования «Лонки-Ворцинское» № 2 от 08 ноября 2013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Территориальное планирование территории муниципального образования «Лонки-Ворцинское» осуществляется в соответствии с действующим федеральным законодательством и законодательством Удмуртской Республики, муниципальными правовыми актами муниципального образования «Игринский район» Удмуртской Республики и муниципального образования «Лонки-Ворцинское», направлено на комплексное решение задач развития муниципального образования «Лонки-Ворцинское» и вопросов местного значения, 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Генеральным планом муниципального образования «Лонки-Ворцинское» определены основные направления и параметры пространственного развития муниципального образования, обеспечивающие его устойчивое развитие, развитие инженерной, транспортной и социальной инфраструктур для обеспечения комфортных условий проживания населения, обеспечение учета согласованности документов территориального планирования Российской Федерации, документов территориального планирования Удмуртской Республики, документов территориального планирования Игринского района Удмуртской Республики, а также документов территориального планирования муниципальных образований, имеющих общую границу с муниципальным образованием «Лонки-Ворцинское».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значительной степени развитие планируемой территории будет определяться инвестиционной политикой, осуществляемой на рассматриваемой территории администрацией Удмуртской Республики, Игринского района и муниципального образования «Лонки-Ворцинское».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план муниципального образования «Лонки-Ворцинское» устанавливает: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границы населенных пунктов, входящих в состав муниципального образования «Лонки-Ворцинское»;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функциональное зонирование территории муниципального образования «Лонки-Ворцинское»;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характер развития территории муниципального образования «Лонки-Ворцинское» в том числе и размещение объектов местного значения;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различных функциональных зон за счет эффективного использования внутренних территориальных резервов, а также путем освоения не застроенных территорий, обладающих высокой градостроительной ценностью;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развития сети транспортных и инженерных узлов и коммуникаций, социальной и производственной инфраструктур;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развития средозащитной и рекреационной инфраструктур.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план муниципального образования «Лонки-Ворцинское» разработан на срок до 2037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Этапы реализации Генерального плана муниципального образования «Лонки-Ворцинское», их сроки уточняются органами местного самоуправления исходя из складывающейся социально-экономической обстановки, финансовых возможностей местного бюджета, сроков исполнения соответствующих федеральных, республиканских и муниципальных целевых программ в части, затрагивающей территорию муниципального образования «Лонки-Ворцинское», приоритетных национальных проектов.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Значительную часть муниципального образования «Лонки-Ворцинское» занимают  месторождения нефти — Итинское и Чутырская площадь Чутырско-Киенгопского месторождения, Кабановский участок недр. Данные месторождения эксплуатируются ОАО «Удмуртнефть» и ООО «Белкамнефть».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расчетный срок планируется производить добычу нефти, растворенного газа и сопутствующих компонентов на предоставленных лицензионных участках  разведанных месторождений, представленных в таблице № 1.</w:t>
      </w: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659"/>
        <w:gridCol w:w="2418"/>
        <w:gridCol w:w="2452"/>
        <w:gridCol w:w="2436"/>
      </w:tblGrid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</w:tr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tabs>
                <w:tab w:val="left" w:pos="585"/>
              </w:tabs>
              <w:spacing w:line="1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Итинское месторождение</w:t>
            </w: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Игринский район</w:t>
            </w: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Разведка и добыча полезных ископаемых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ИЖВ 12629 НЭ от 02.10.2017 на ООО «Белкамнефть»</w:t>
            </w:r>
          </w:p>
        </w:tc>
      </w:tr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Чутырская площадь Чутырско-Киенгоп-ского месторождения</w:t>
            </w: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Игринский и Якшур Бодьинский районы</w:t>
            </w: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Разведка и добыча полезных ископаемых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ИЖВ 00201 НЭ, ИЖВ 00202 НЭ</w:t>
            </w:r>
          </w:p>
        </w:tc>
      </w:tr>
      <w:tr w:rsidR="00216E4C">
        <w:tc>
          <w:tcPr>
            <w:tcW w:w="51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Кабановский участок недр</w:t>
            </w:r>
          </w:p>
        </w:tc>
        <w:tc>
          <w:tcPr>
            <w:tcW w:w="2418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Игринский и Якшур Бодьинский районы</w:t>
            </w:r>
          </w:p>
        </w:tc>
        <w:tc>
          <w:tcPr>
            <w:tcW w:w="2452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Разведка и добыча полезных ископаемых</w:t>
            </w:r>
          </w:p>
        </w:tc>
        <w:tc>
          <w:tcPr>
            <w:tcW w:w="2436" w:type="dxa"/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ИЖВ 01488НР</w:t>
            </w:r>
          </w:p>
        </w:tc>
      </w:tr>
    </w:tbl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расчетный срок планируется увеличение производственных территорий с возможностью занятия земельных участков любых категорий, зон и видов использования, на основании проектов разработки и обустройства месторождений, под строительство производственных объектов. К объектам обустройства нефтяных и газовых месторождений относятся объекты технологического комплекса добычи, сбора, транспорта и подготовки нефти и газа. 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основу проектного решения Генерального плана муниципального образования «Лонки-Ворцинское» положены градостроительные принципы, значимые для устойчивого функционирования территории муниципального образования: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максимально компактных населенных пунктов;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усиление взаимосвязи между отдельными населенными пунктами;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современной комфортной среды путем повышения уровня благоустройства и нового жилищного строительства;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строительство нового жилья взамен аварийного и ветхого жилого фонда;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озеленение и благоустройство застроенных территорий населенных пунктов, а также организация и благоустройство рекреационных зон;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общественных подцентров обслуживания населения;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сельскохозяйственных объектов в пределах сформированной функциональной зоны за счёт интенсификации использования земельных участков, сокращения санитарно-защитных зон, перепрофилированию отдельных объектов.</w:t>
      </w:r>
    </w:p>
    <w:p w:rsidR="00216E4C" w:rsidRDefault="00216E4C">
      <w:pPr>
        <w:pStyle w:val="a1"/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территории муниципального образования — 4400 га.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образование «Лонки-Ворцинское» имеет общую границу: 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севере – с муниципальным образованием «Сепское»;</w:t>
      </w: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западе – с муниципальным образованием «Сундурское»;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востоке и юге – с с муниципальным образованием «Чутырское».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Генеральным планом муниципального образования «Лонки-Ворцинское» предусмотрено расширение территорий населенных пунктов д.Лонки-Ворцы на 6,59га и д.Малые Мазьги на 7,76га  за счет земель сельскохозяйственного использования.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Площадь территорий населенных пунктов на существующее положение и проектное предложение представлены в таблице № 2.</w:t>
      </w:r>
    </w:p>
    <w:p w:rsidR="00216E4C" w:rsidRDefault="00216E4C">
      <w:pPr>
        <w:pStyle w:val="a1"/>
        <w:ind w:left="1" w:right="1" w:firstLine="570"/>
        <w:jc w:val="right"/>
      </w:pPr>
      <w:r>
        <w:rPr>
          <w:rFonts w:ascii="Times New Roman" w:hAnsi="Times New Roman"/>
          <w:sz w:val="26"/>
          <w:szCs w:val="26"/>
        </w:rPr>
        <w:t>Таблица № 2</w:t>
      </w:r>
    </w:p>
    <w:p w:rsidR="00216E4C" w:rsidRDefault="003019CA">
      <w:pPr>
        <w:pStyle w:val="a1"/>
        <w:ind w:left="1" w:right="1" w:firstLine="570"/>
        <w:jc w:val="right"/>
        <w:rPr>
          <w:rFonts w:ascii="Times New Roman" w:hAnsi="Times New Roman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98590" cy="1820545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7"/>
                              <w:gridCol w:w="3226"/>
                              <w:gridCol w:w="3753"/>
                            </w:tblGrid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Наименование населенного пункта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Существующее положение</w:t>
                                  </w:r>
                                </w:p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Площадь территории населенного пункт, га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Проектное предложение</w:t>
                                  </w:r>
                                </w:p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Площадь территории населенного пункт, га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д.Лонки-Ворцы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108,38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114,98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д.Порвай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67,21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67,21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д.Малые Мазьги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26,24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34,0</w:t>
                                  </w:r>
                                </w:p>
                              </w:tc>
                            </w:tr>
                            <w:tr w:rsidR="00216E4C">
                              <w:tc>
                                <w:tcPr>
                                  <w:tcW w:w="3227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201,83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:rsidR="00216E4C" w:rsidRDefault="00216E4C">
                                  <w:pPr>
                                    <w:pStyle w:val="ae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216,18</w:t>
                                  </w:r>
                                </w:p>
                              </w:tc>
                            </w:tr>
                          </w:tbl>
                          <w:p w:rsidR="00216E4C" w:rsidRDefault="00216E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45pt;width:511.7pt;height:143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rlewIAAAAF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" stroked="f"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7"/>
                        <w:gridCol w:w="3226"/>
                        <w:gridCol w:w="3753"/>
                      </w:tblGrid>
                      <w:tr w:rsidR="00216E4C">
                        <w:tc>
                          <w:tcPr>
                            <w:tcW w:w="3227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Наименование населенного пункта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Существующее положение</w:t>
                            </w:r>
                          </w:p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Площадь территории населенного пункт, га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Проектное предложение</w:t>
                            </w:r>
                          </w:p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Площадь территории населенного пункт, га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д.Лонки-Ворцы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108,38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114,98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д.Порвай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67,21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67,21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д.Малые Мазьги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26,24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34,0</w:t>
                            </w:r>
                          </w:p>
                        </w:tc>
                      </w:tr>
                      <w:tr w:rsidR="00216E4C">
                        <w:tc>
                          <w:tcPr>
                            <w:tcW w:w="3227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201,83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:rsidR="00216E4C" w:rsidRDefault="00216E4C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216,18</w:t>
                            </w:r>
                          </w:p>
                        </w:tc>
                      </w:tr>
                    </w:tbl>
                    <w:p w:rsidR="00216E4C" w:rsidRDefault="00216E4C">
                      <w:r>
                        <w:t xml:space="preserve"> 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Существующая и прогнозируемая численность населения муниципального образования «Лонки-Ворцинское» приведены в таблице № 3.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3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1"/>
        <w:gridCol w:w="3421"/>
        <w:gridCol w:w="3422"/>
      </w:tblGrid>
      <w:tr w:rsidR="00216E4C">
        <w:tc>
          <w:tcPr>
            <w:tcW w:w="3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Существующее положение</w:t>
            </w:r>
          </w:p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Население (чел)</w:t>
            </w:r>
          </w:p>
        </w:tc>
        <w:tc>
          <w:tcPr>
            <w:tcW w:w="3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Проектное предложение</w:t>
            </w:r>
          </w:p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Население  (чел)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pacing w:line="100" w:lineRule="atLeast"/>
              <w:ind w:left="1" w:right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458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216E4C"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710</w:t>
            </w: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</w:t>
            </w:r>
          </w:p>
        </w:tc>
      </w:tr>
    </w:tbl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Жилищное строительство будет производится на новых площадках:</w:t>
      </w:r>
    </w:p>
    <w:p w:rsidR="00216E4C" w:rsidRDefault="00216E4C">
      <w:pPr>
        <w:pStyle w:val="a1"/>
        <w:tabs>
          <w:tab w:val="left" w:pos="556"/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ab/>
        <w:t>1. В д.Лонки-Ворцы — 1,61га (продолжение на восток ул.Рассветная с северной стороны, часть участка с кадастровым номером  18:09:053002 в границах населенного пункта), 4,01га (с западной стороны населенного пункта,  часть участка с кадастровым номером  18:09:005002), 2,33 га (с южной стороны населенного пункта, часть участка с кадастровым номером  18:09:007001).</w:t>
      </w:r>
    </w:p>
    <w:p w:rsidR="00216E4C" w:rsidRDefault="00216E4C">
      <w:pPr>
        <w:pStyle w:val="a1"/>
        <w:tabs>
          <w:tab w:val="left" w:pos="556"/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lastRenderedPageBreak/>
        <w:t xml:space="preserve"> </w:t>
      </w:r>
      <w:r>
        <w:rPr>
          <w:rFonts w:ascii="Times New Roman" w:hAnsi="Times New Roman" w:cs="Arial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Жилое строительство на участках с  кадастровыми номерами  18:09:053002 и  18:09:053002 производить после ликвидации скотомогильника (на основании Постановления Правительства Удмуртской Республики от 7 сентября 2015 года № 431).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ab/>
        <w:t xml:space="preserve">2. В д.Порвай — 9,36га (с юго-западной стороны, часть участка с кадастровым номером  18:09:086001  в границах населенного пункта),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3. В д.Малые Мазьги — 2,66га (в продолжении на юг ул.Кленовая, часть участка с кадастровым номером  18:09:007001), 3,8га (с западной стороны населенного пункта,  часть участка с кадастровым номером  18:09:007001).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 w:cs="Arial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фонд на расчетный срок составит 16,1тыс.кв.м при средней жилищной обеспеченности 21,2кв.м/чел. Прогнозируемый рост жилого фонда и объемы нового жилого строительства представлены в таблице № 4.</w:t>
      </w: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2415"/>
        <w:gridCol w:w="2415"/>
      </w:tblGrid>
      <w:tr w:rsidR="00216E4C">
        <w:trPr>
          <w:trHeight w:val="900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Существующий жилой фонд, тыс.кв.м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нового жилого строительства, тыс.кв.м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1"/>
              <w:spacing w:line="10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фонд на расчетный срок, тыс.кв.м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1,84</w:t>
            </w:r>
          </w:p>
        </w:tc>
      </w:tr>
      <w:tr w:rsidR="00216E4C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</w:tr>
    </w:tbl>
    <w:p w:rsidR="00216E4C" w:rsidRDefault="00216E4C">
      <w:pPr>
        <w:rPr>
          <w:rFonts w:ascii="Times New Roman" w:hAnsi="Times New Roman"/>
          <w:sz w:val="28"/>
          <w:szCs w:val="28"/>
        </w:rPr>
      </w:pPr>
    </w:p>
    <w:p w:rsidR="00216E4C" w:rsidRDefault="00216E4C">
      <w:pPr>
        <w:rPr>
          <w:rFonts w:ascii="Times New Roman" w:hAnsi="Times New Roman"/>
          <w:sz w:val="28"/>
          <w:szCs w:val="28"/>
        </w:rPr>
      </w:pPr>
    </w:p>
    <w:p w:rsidR="00216E4C" w:rsidRDefault="00216E4C" w:rsidP="00E60F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видах, назначении и наименованиях планируемых для</w:t>
      </w:r>
    </w:p>
    <w:p w:rsidR="00216E4C" w:rsidRDefault="00216E4C" w:rsidP="00E60F5A">
      <w:pPr>
        <w:pStyle w:val="a1"/>
        <w:tabs>
          <w:tab w:val="left" w:pos="1156"/>
          <w:tab w:val="left" w:pos="1171"/>
        </w:tabs>
        <w:spacing w:line="100" w:lineRule="atLeast"/>
        <w:ind w:left="1" w:right="1" w:firstLine="5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объектов федерального, регионального и местного</w:t>
      </w:r>
    </w:p>
    <w:p w:rsidR="00216E4C" w:rsidRDefault="00216E4C" w:rsidP="00E60F5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значения муниципального образования «Лонки-Ворцинское»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Размещение объектов местного значения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Генеральным планом муниципального образования «Лонки-Ворцинское» установлены планируемые для размещения (строительство или реконструкция) объекты местного значения поселения, относящиеся к следующим областям: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автомобильные дороги межмуниципального и местного значения;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электро-, тепло-, газо- и водоснабжение, водоотведение;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благоустройство территории поселения;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первичных мер пожарной безопасности.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Местоположение отдельных объектов обусловлено различными функциональными зонами.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Размещение объектов транспортной инфраструктуры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Проектные предложения Генерального плана муниципального образования «Лонки-Ворцинское» направлены на решение существующих транспортных проблем, поддержание устойчивости, совершенствования имеющихся и строительство новых объектов и сетей внешнего транспорта, улучшения экологического состояния сельской среды.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Генеральным планом муниципального образования «Лонки-Ворцинское» </w:t>
      </w:r>
      <w:r>
        <w:rPr>
          <w:rFonts w:ascii="Times New Roman" w:hAnsi="Times New Roman"/>
          <w:sz w:val="26"/>
          <w:szCs w:val="26"/>
        </w:rPr>
        <w:lastRenderedPageBreak/>
        <w:t xml:space="preserve">предусматривается капитальный ремонт автомобильной дороги с асфальтобетонным покрытием </w:t>
      </w:r>
      <w:r>
        <w:rPr>
          <w:rFonts w:ascii="Times New Roman" w:eastAsia="Arial" w:hAnsi="Times New Roman" w:cs="Arial"/>
          <w:color w:val="000000"/>
          <w:sz w:val="26"/>
          <w:szCs w:val="26"/>
          <w:lang/>
        </w:rPr>
        <w:t>(М-7 "Волга" от Москвы через Владимир, Нижний Новгород, Казань до Уфы подъезд к городам Ижевск и Пермь) — Лонки-Ворцы-Порвай, протяженностью</w:t>
      </w:r>
      <w:r>
        <w:rPr>
          <w:rFonts w:ascii="Times New Roman" w:hAnsi="Times New Roman"/>
          <w:sz w:val="26"/>
          <w:szCs w:val="26"/>
        </w:rPr>
        <w:t>3,0км до 2025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6"/>
          <w:szCs w:val="26"/>
        </w:rPr>
        <w:t>2.1.1.1. Улично-дорожная сеть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Cs w:val="20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Протяженность улично-дорожной сети в каждом населенном пункте, подвергающейся реконструкции и новому строительству до 2037 года приведена в таблице № 5. </w:t>
      </w:r>
    </w:p>
    <w:p w:rsidR="00216E4C" w:rsidRDefault="00216E4C">
      <w:pPr>
        <w:pStyle w:val="a1"/>
        <w:ind w:left="1" w:right="1" w:firstLine="5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5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0"/>
        <w:gridCol w:w="3270"/>
        <w:gridCol w:w="3210"/>
      </w:tblGrid>
      <w:tr w:rsidR="00216E4C">
        <w:tc>
          <w:tcPr>
            <w:tcW w:w="3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2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реконструиру-емого дорожного полотна, км</w:t>
            </w:r>
          </w:p>
        </w:tc>
        <w:tc>
          <w:tcPr>
            <w:tcW w:w="3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Протяженность строительства дорожного полотна, км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1,17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1,88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1,36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216E4C">
        <w:tc>
          <w:tcPr>
            <w:tcW w:w="31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2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8,44</w:t>
            </w:r>
          </w:p>
        </w:tc>
        <w:tc>
          <w:tcPr>
            <w:tcW w:w="32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2,07</w:t>
            </w:r>
          </w:p>
        </w:tc>
      </w:tr>
    </w:tbl>
    <w:p w:rsidR="00216E4C" w:rsidRDefault="00216E4C">
      <w:pPr>
        <w:pStyle w:val="a1"/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мероприятиями по развитию улично-дорожной сети населенных пунктов будут являться - приведение в нормативное состояние существующих улиц и дорог со сменой дорожного покрытия на твердое — щебеночно-гравийное или асфальтобетонное. Необходимо осуществлять комплекс работ по приведению в нормативное транспортно-эксплуатационное состояние существующих улиц и дорог, грейдирование, отсыпку ПГС, укладку водопропускных труб, установку дорожных знаков, устройство организованного водоотвода (кюветов), реконструкцию мостов через реки, устройство тротуаров и перильного ограждения, восстановление системы водоотводов с устройством дренажа.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" w:hAnsi="Times New Roman"/>
          <w:sz w:val="26"/>
          <w:szCs w:val="26"/>
          <w:lang w:val="uk-UA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  <w:lang w:val="uk-UA"/>
        </w:rPr>
        <w:t>ъектов инженерной инфраструктуры</w:t>
      </w:r>
    </w:p>
    <w:p w:rsidR="00216E4C" w:rsidRDefault="00216E4C">
      <w:pPr>
        <w:pStyle w:val="a1"/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Генеральным планом муниципального образования «Лонки-Ворцинское» предусматривается перечень мероприятий, направленных на повышение уровня инженерного обеспечения территории по основным видам инженерного обслуживания. Развитие объектов коммунальной инфраструктуры будет определено в соответствии со схемами тепло-, водоснабжения и водоотведения, программой комплексного развития систем коммунальной инфраструктуры и инвестиционными программами субъектов естественных монополий.</w:t>
      </w: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55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ind w:left="16" w:right="1"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2.1.2.1. Водоснабжение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Источником питьевого водоснабжения существующей застройки являются артезианские скважины.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Для обеспечения надежного водоснабжения и пожаротушения данной территории предусмотрено замена и строительство новых сетей водоснабжения. 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План-график очередности замены и строительства сетей водопровода проводить согласно утвержденной программы.</w:t>
      </w:r>
    </w:p>
    <w:p w:rsidR="00216E4C" w:rsidRDefault="00216E4C">
      <w:pPr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Предусмотрены внутриплощадочные сети водоснабжения Д=63-80мм, «питьевая» из полиэтиленовых  труб по ГОСТ  18599-2001,  к которым запроектировано подключение объектов. Присоединение выполнить от одного колодца для 3-4 малоэтажных объектов.</w:t>
      </w:r>
    </w:p>
    <w:p w:rsidR="00216E4C" w:rsidRDefault="00216E4C">
      <w:pPr>
        <w:tabs>
          <w:tab w:val="left" w:pos="571"/>
        </w:tabs>
        <w:spacing w:line="100" w:lineRule="atLeast"/>
        <w:ind w:left="-14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Прокладку сети производить на глубине не менее 2,3м до низа трубы.</w:t>
      </w:r>
    </w:p>
    <w:p w:rsidR="00216E4C" w:rsidRDefault="00216E4C">
      <w:pPr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Для обеспечения наружного и внутреннего пожаротушения объектов общественно-деловой застройки при рабочем проектировании при необходимости предусмотреть пожарные резервуары.</w:t>
      </w:r>
    </w:p>
    <w:p w:rsidR="00216E4C" w:rsidRDefault="00216E4C">
      <w:pPr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>Протяженность сетей водоснабжения на вновь проектируемых территориях в каждом населенном пункте приведена в таблице №6.</w:t>
      </w:r>
    </w:p>
    <w:p w:rsidR="00216E4C" w:rsidRDefault="00216E4C">
      <w:pPr>
        <w:tabs>
          <w:tab w:val="left" w:pos="645"/>
          <w:tab w:val="left" w:pos="720"/>
          <w:tab w:val="left" w:pos="750"/>
        </w:tabs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№6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4536"/>
      </w:tblGrid>
      <w:tr w:rsidR="00216E4C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сетей, км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д.Лонки-Ворцы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д.Порвай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д.Малые Мазьги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216E4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ind w:left="5" w:right="170" w:hanging="3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</w:tbl>
    <w:p w:rsidR="00216E4C" w:rsidRDefault="00216E4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6E4C" w:rsidRDefault="00216E4C">
      <w:pPr>
        <w:tabs>
          <w:tab w:val="left" w:pos="556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Расход воды на наружное пожаротушение малоэтажной застройки — 10л/с.</w:t>
      </w:r>
    </w:p>
    <w:p w:rsidR="00216E4C" w:rsidRDefault="00216E4C">
      <w:pPr>
        <w:tabs>
          <w:tab w:val="left" w:pos="556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Расход воды на внутреннее и наружное пожаротушение общественно-деловой застройки — уточнить при  рабочем проектировании.</w:t>
      </w:r>
    </w:p>
    <w:p w:rsidR="00216E4C" w:rsidRDefault="00216E4C">
      <w:pPr>
        <w:tabs>
          <w:tab w:val="left" w:pos="556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Вода подается на хозяйственно-питьевые нужды к потребителям, требующим воду питьевого качества в зданиях.</w:t>
      </w:r>
    </w:p>
    <w:p w:rsidR="00216E4C" w:rsidRDefault="00216E4C">
      <w:pPr>
        <w:tabs>
          <w:tab w:val="left" w:pos="556"/>
        </w:tabs>
        <w:ind w:left="1" w:right="1" w:firstLine="5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Требуемый напор для общественно-деловой застройки — определить при рабочем проектировании. При недостаточном напоре предусмотреть установки повышения давления.  </w:t>
      </w:r>
    </w:p>
    <w:p w:rsidR="00216E4C" w:rsidRDefault="00216E4C">
      <w:pPr>
        <w:tabs>
          <w:tab w:val="left" w:pos="556"/>
        </w:tabs>
        <w:ind w:left="1" w:right="1" w:firstLine="555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71"/>
          <w:tab w:val="left" w:pos="586"/>
          <w:tab w:val="left" w:pos="601"/>
        </w:tabs>
        <w:ind w:left="1" w:right="1" w:firstLine="5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2.1.2.2. Водоотведение</w:t>
      </w:r>
    </w:p>
    <w:p w:rsidR="00216E4C" w:rsidRDefault="00216E4C">
      <w:pPr>
        <w:tabs>
          <w:tab w:val="left" w:pos="556"/>
        </w:tabs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Хозяйственно-бытовые стоки от жилой и общественно-деловой застройки производятся в выгребы.</w:t>
      </w:r>
    </w:p>
    <w:p w:rsidR="00216E4C" w:rsidRDefault="00216E4C">
      <w:pPr>
        <w:tabs>
          <w:tab w:val="left" w:pos="556"/>
        </w:tabs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>Поверхностные, дренажные, условно - чистые и агрессивные стоки в хозяйственно-бытовую канализацию не принимаются.</w:t>
      </w:r>
    </w:p>
    <w:p w:rsidR="00216E4C" w:rsidRDefault="00216E4C">
      <w:pPr>
        <w:tabs>
          <w:tab w:val="left" w:pos="646"/>
          <w:tab w:val="left" w:pos="721"/>
          <w:tab w:val="left" w:pos="751"/>
        </w:tabs>
        <w:spacing w:line="360" w:lineRule="auto"/>
        <w:ind w:left="1" w:right="1" w:firstLine="5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>Таблица №7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9"/>
        <w:gridCol w:w="1416"/>
        <w:gridCol w:w="1416"/>
        <w:gridCol w:w="1416"/>
        <w:gridCol w:w="1417"/>
      </w:tblGrid>
      <w:tr w:rsidR="00216E4C"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Числен-ность населения, чел. 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 водоотве-дения, л/сут 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Расход, м3/сут, Qсут.m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Расход, м3/сут, Qсут.max= 1.2*Qсут.m 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с. Лонки-Ворцы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71,45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74,88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д.Порвай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29,95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д. Малые Мазьги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9,36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12,48</w:t>
            </w:r>
          </w:p>
        </w:tc>
      </w:tr>
      <w:tr w:rsidR="00216E4C">
        <w:tc>
          <w:tcPr>
            <w:tcW w:w="1020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ИТОГО: 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Существующее положение 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710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110,76</w:t>
            </w:r>
          </w:p>
        </w:tc>
      </w:tr>
      <w:tr w:rsidR="00216E4C">
        <w:tc>
          <w:tcPr>
            <w:tcW w:w="4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предложение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760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98,8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118,56</w:t>
            </w:r>
          </w:p>
        </w:tc>
      </w:tr>
    </w:tbl>
    <w:p w:rsidR="00216E4C" w:rsidRDefault="00216E4C">
      <w:pPr>
        <w:ind w:left="1" w:right="1" w:firstLine="58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2.1.2.3. Теплоснабжение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Предусматривается вывод из эксплуатации существующих котельных, работающих на твердом топливе и установка новых блочно - модульных котельных на газовом топливе для обеспечения существующих и вновь проектируемых зданий социального значения отоплением, вентиляцией и горячим водоснабжением. </w:t>
      </w:r>
    </w:p>
    <w:p w:rsidR="00216E4C" w:rsidRDefault="00216E4C">
      <w:pPr>
        <w:pStyle w:val="a1"/>
        <w:spacing w:line="100" w:lineRule="atLeast"/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Теплоснабжение районов индивидуальной застройки предусматривается от индивидуальных источников на газовом топливе.</w:t>
      </w:r>
    </w:p>
    <w:p w:rsidR="00216E4C" w:rsidRDefault="00216E4C">
      <w:pPr>
        <w:pStyle w:val="a1"/>
        <w:spacing w:after="283" w:line="100" w:lineRule="atLeast"/>
        <w:ind w:left="1" w:right="1" w:firstLine="57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Ожидаемые потребности тепла для нового строительства подсчитаны по укрупненным показателям и удельным характеристикам с учетом применения строительных конструкции с улучшенными теплофизическими свойствами и энергосберегающими мероприятиями с использованием показателей типовых проектов на </w:t>
      </w:r>
      <w:r>
        <w:rPr>
          <w:rFonts w:ascii="Times New Roman" w:hAnsi="Times New Roman"/>
          <w:sz w:val="26"/>
          <w:szCs w:val="26"/>
        </w:rPr>
        <w:t xml:space="preserve">объекты строительства и приведены в таблице № 8. </w:t>
      </w:r>
    </w:p>
    <w:p w:rsidR="00216E4C" w:rsidRDefault="00216E4C">
      <w:pPr>
        <w:pStyle w:val="a1"/>
        <w:spacing w:line="10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>Таблица№ 8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2436"/>
        <w:gridCol w:w="1942"/>
        <w:gridCol w:w="888"/>
        <w:gridCol w:w="813"/>
        <w:gridCol w:w="2535"/>
      </w:tblGrid>
      <w:tr w:rsidR="00216E4C">
        <w:tc>
          <w:tcPr>
            <w:tcW w:w="159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243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стр-ва</w:t>
            </w:r>
          </w:p>
        </w:tc>
        <w:tc>
          <w:tcPr>
            <w:tcW w:w="364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тепла, МВт</w:t>
            </w:r>
          </w:p>
        </w:tc>
        <w:tc>
          <w:tcPr>
            <w:tcW w:w="25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Источник</w:t>
            </w:r>
          </w:p>
        </w:tc>
      </w:tr>
      <w:tr w:rsidR="00216E4C">
        <w:tc>
          <w:tcPr>
            <w:tcW w:w="159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243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Отопление, вентиляция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ГВС ср.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5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/>
        </w:tc>
      </w:tr>
      <w:tr w:rsidR="00216E4C">
        <w:tc>
          <w:tcPr>
            <w:tcW w:w="1592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1.д.Лонки-Ворцы</w:t>
            </w:r>
          </w:p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дома культуры на 170 мест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0,15МВт</w:t>
            </w:r>
          </w:p>
          <w:p w:rsidR="00216E4C" w:rsidRDefault="00216E4C" w:rsidP="00E60F5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  <w:tr w:rsidR="00216E4C">
        <w:tc>
          <w:tcPr>
            <w:tcW w:w="159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школы на 90 мест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0,22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0,4МВт</w:t>
            </w:r>
          </w:p>
          <w:p w:rsidR="00216E4C" w:rsidRDefault="00216E4C" w:rsidP="00E60F5A">
            <w:pPr>
              <w:pStyle w:val="ae"/>
              <w:jc w:val="center"/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  <w:tr w:rsidR="00216E4C">
        <w:tc>
          <w:tcPr>
            <w:tcW w:w="1592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/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Реконструкция детского сада на 33 места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0,15МВт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  <w:tr w:rsidR="00216E4C">
        <w:tc>
          <w:tcPr>
            <w:tcW w:w="15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2.д.Порвай</w:t>
            </w:r>
          </w:p>
        </w:tc>
        <w:tc>
          <w:tcPr>
            <w:tcW w:w="243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дома культуры на 60 мест</w:t>
            </w:r>
          </w:p>
        </w:tc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0,100</w:t>
            </w:r>
          </w:p>
        </w:tc>
        <w:tc>
          <w:tcPr>
            <w:tcW w:w="8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0,020</w:t>
            </w:r>
          </w:p>
        </w:tc>
        <w:tc>
          <w:tcPr>
            <w:tcW w:w="8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0,120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5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котельная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0,15МВт</w:t>
            </w:r>
          </w:p>
          <w:p w:rsidR="00216E4C" w:rsidRDefault="00216E4C" w:rsidP="00E60F5A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+сети 0.1км</w:t>
            </w:r>
          </w:p>
        </w:tc>
      </w:tr>
    </w:tbl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center"/>
        <w:rPr>
          <w:rFonts w:ascii="Times New Roman" w:hAnsi="Times New Roman"/>
          <w:color w:val="000000"/>
          <w:sz w:val="24"/>
        </w:rPr>
      </w:pP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объектов жилищно-коммунального сектора целесообразно применение децентрализованного теплоснабжения – встроенные и пристроенные к зданию котельные, автоматизированные модульные котельные полной заводской готовности. Необходимость использования таких теплоисточников обосновывается на следующих стадиях проектирования в каждом конкретном случае.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2.1.2.4. Газоснабжение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расчетной схемы газораспределительных сетей высокого давления предлагаются следующие мероприятия для газоснабжения территорий населенных пунктов МО «Лонки-Ворцинское»: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1.Строительство газопроводов высокого давления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категории и газорегуляторных пунктов блочного типа.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Строительство распределительных газопроводов низкого давления до потребителей.</w:t>
      </w:r>
    </w:p>
    <w:p w:rsidR="00216E4C" w:rsidRDefault="00216E4C">
      <w:pPr>
        <w:pStyle w:val="a1"/>
        <w:tabs>
          <w:tab w:val="left" w:pos="55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Поэтапное осуществление перевода на природный газ объектов, в данный момент потребляющие другие источники топлива. </w:t>
      </w:r>
    </w:p>
    <w:p w:rsidR="00216E4C" w:rsidRDefault="00216E4C">
      <w:pPr>
        <w:pStyle w:val="a1"/>
        <w:spacing w:line="100" w:lineRule="atLeast"/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Ориентировочные объемы строительства газопроводов высокого давления II категории и низкого давления по населенным пунктам МО «Лонки-Ворцинское» представлены в таблице №9.</w:t>
      </w:r>
    </w:p>
    <w:p w:rsidR="00216E4C" w:rsidRDefault="00216E4C">
      <w:pPr>
        <w:pStyle w:val="a1"/>
        <w:ind w:left="1" w:right="1" w:firstLine="58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Таблица №9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"/>
        <w:gridCol w:w="6523"/>
        <w:gridCol w:w="932"/>
        <w:gridCol w:w="1842"/>
      </w:tblGrid>
      <w:tr w:rsidR="00216E4C">
        <w:tc>
          <w:tcPr>
            <w:tcW w:w="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5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 изм.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Газопроводы высокого давления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категории по землям МО «Лонки-Ворцинское» до газорегуляторных пунктов 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Газопроводы низкого давления д.Лонки-Ворцы (перспектива)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Газопроводы низкого давления д.Порвай (перспектива)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Газопроводы низкого давления д.Малые Мазьги (перспектива)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</w:tr>
      <w:tr w:rsidR="00216E4C">
        <w:tc>
          <w:tcPr>
            <w:tcW w:w="9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6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16E4C" w:rsidRDefault="00216E4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:</w:t>
            </w:r>
          </w:p>
        </w:tc>
        <w:tc>
          <w:tcPr>
            <w:tcW w:w="9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21,9</w:t>
            </w:r>
          </w:p>
        </w:tc>
      </w:tr>
    </w:tbl>
    <w:p w:rsidR="00216E4C" w:rsidRDefault="00216E4C">
      <w:pPr>
        <w:pStyle w:val="a1"/>
        <w:tabs>
          <w:tab w:val="left" w:pos="10037"/>
        </w:tabs>
        <w:ind w:left="1" w:right="1" w:firstLine="570"/>
        <w:jc w:val="both"/>
        <w:rPr>
          <w:rFonts w:ascii="Times New Roman" w:hAnsi="Times New Roman"/>
          <w:sz w:val="24"/>
        </w:rPr>
      </w:pPr>
    </w:p>
    <w:p w:rsidR="00216E4C" w:rsidRDefault="00216E4C">
      <w:pPr>
        <w:pStyle w:val="a1"/>
        <w:spacing w:line="100" w:lineRule="atLeast"/>
        <w:ind w:left="1" w:right="1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Протяженности газопроводов, места установки блочных газорегуляторных пунктов ориентировочные и будут уточняться при разработке проектной и рабочей документации газораспределительных сетей. </w:t>
      </w:r>
    </w:p>
    <w:p w:rsidR="00216E4C" w:rsidRDefault="00216E4C">
      <w:pPr>
        <w:pStyle w:val="a1"/>
        <w:spacing w:line="100" w:lineRule="atLeast"/>
        <w:ind w:left="1" w:right="1" w:firstLine="54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2.1.2.5. Электроснабжение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Планируется строительство трансформаторных подстанций и сетей электроснабжения на территориях нового жилого строительства во всех населенных пунктах.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показатели</w:t>
      </w:r>
    </w:p>
    <w:p w:rsidR="00216E4C" w:rsidRDefault="00216E4C">
      <w:pPr>
        <w:pStyle w:val="a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Таблица № 10</w:t>
      </w:r>
    </w:p>
    <w:tbl>
      <w:tblPr>
        <w:tblW w:w="100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331"/>
        <w:gridCol w:w="850"/>
        <w:gridCol w:w="675"/>
        <w:gridCol w:w="2463"/>
      </w:tblGrid>
      <w:tr w:rsidR="00216E4C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Кол.</w:t>
            </w: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электроснабжения</w:t>
            </w:r>
          </w:p>
        </w:tc>
      </w:tr>
      <w:tr w:rsidR="00216E4C">
        <w:tc>
          <w:tcPr>
            <w:tcW w:w="1008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Усадебная застройка и объекты капитального строительства</w:t>
            </w:r>
          </w:p>
        </w:tc>
      </w:tr>
      <w:tr w:rsidR="00216E4C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д.Лонки-Ворцы, Рр= 150 кВт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КТП 1х160 кВА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ВЛ-10 кВ (распределительная от ВЛ-10кВ)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ВЛ-0,4 кВ (распределительная ВЛ от проектируемых и сущ. КТП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2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индивидуальной застройки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источник- ПС «Чутырь»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16E4C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Порвай, Рр=115 кВт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КТП 1х160 кВА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ВЛ-10 кВ (распределительная от ВЛ-10кВ)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ВЛ-0,4 кВ (распределительная ВЛ от проектируемых и сущ. КТП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индивидуальной застройки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источник- ПС «Чутырь»</w:t>
            </w:r>
          </w:p>
        </w:tc>
      </w:tr>
      <w:tr w:rsidR="00216E4C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д.Малые Мазьги, Рр= 75 кВт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КТП 1х100 кВА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ВЛ-10 кВ (распределительная от ВЛ-10кВ)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ВЛ-0,4 кВ (распределительная ВЛ от проектируемых и сущ. КТП 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2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индивидуальной застройки </w:t>
            </w:r>
          </w:p>
          <w:p w:rsidR="00216E4C" w:rsidRDefault="00216E4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источник- ПС «Чутырь»</w:t>
            </w:r>
          </w:p>
        </w:tc>
      </w:tr>
    </w:tbl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Мероприятия по благоустройству территории поселения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повышения уровня благоустройства территории населенных пунктов</w:t>
      </w:r>
      <w:r>
        <w:rPr>
          <w:rFonts w:ascii="Times New Roman" w:hAnsi="Times New Roman"/>
          <w:sz w:val="26"/>
          <w:szCs w:val="26"/>
        </w:rPr>
        <w:br/>
        <w:t>муниципального образования «Лонки-Ворцинское» до 2037 года предусмотрены следующие мероприятия: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схемы санитарной очистки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lastRenderedPageBreak/>
        <w:t>«Лонки-Ворцинское»;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на территории населенных пунктов площадок для временного складирования бытовых отходов населения с водонепроницаемым покрытием, установленными на них контейнерами с последующим вывозом на полигон твердых коммунальных отходов.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numPr>
          <w:ilvl w:val="1"/>
          <w:numId w:val="11"/>
        </w:numPr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по обеспечению первичных мер пожарной безопасности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пожарной безопасности на территории муниципального образования осуществляется противопожарной службой ПЧ-31 (пос.Игра, пер.Советский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Дополнительных подразделений пожарной охраны не требуется. 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numPr>
          <w:ilvl w:val="1"/>
          <w:numId w:val="12"/>
        </w:numPr>
        <w:tabs>
          <w:tab w:val="left" w:pos="1156"/>
        </w:tabs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Сведения о планируемых  для размещения в них объектах федерального значения, объектах регионального значения, объектах местного значения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основным функциональным зонам, выделенным в Генеральном плане муниципального образования «Лонки-Ворцинское» относятся: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Жилые зоны: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новых жилых домов на новых территориях за счет земель сельскохозяйственного назначения и взамен аварийного и ветхого жилья (с увеличением жилищной обеспеченности) на существующих земельных участках.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numPr>
          <w:ilvl w:val="1"/>
          <w:numId w:val="13"/>
        </w:numPr>
        <w:tabs>
          <w:tab w:val="left" w:pos="556"/>
          <w:tab w:val="left" w:pos="571"/>
          <w:tab w:val="left" w:pos="646"/>
          <w:tab w:val="left" w:pos="90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Общественно-деловые зоны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2.1) Зона делового, общественного и коммерческого назначения - предназначена для размещения различных объектов обслуживания населения, культовых, административных и коммерческих объектов, связанных с массовым пребыванием населения.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 местного значения: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Капитальный ремонт спортивного зала в в д.Лонки-Ворцы до 2027 года</w:t>
      </w:r>
    </w:p>
    <w:p w:rsidR="00216E4C" w:rsidRDefault="00216E4C">
      <w:pPr>
        <w:snapToGrid w:val="0"/>
        <w:spacing w:line="100" w:lineRule="atLeast"/>
        <w:ind w:left="1" w:right="1" w:firstLine="5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здания Дома культуры на 170 мест  в д.Лонки-Ворцы до 2027года;</w:t>
      </w:r>
    </w:p>
    <w:p w:rsidR="00216E4C" w:rsidRDefault="00216E4C">
      <w:pPr>
        <w:snapToGrid w:val="0"/>
        <w:spacing w:line="100" w:lineRule="atLeast"/>
        <w:ind w:left="1" w:right="1" w:firstLine="5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здания Дома культуры на 60 мест  в д.Порвай до 2037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2.2) Зона учебно-образовательного назначения - предназначена для размещения </w:t>
      </w:r>
      <w:r>
        <w:rPr>
          <w:rFonts w:ascii="Times New Roman" w:hAnsi="Times New Roman"/>
          <w:color w:val="000000"/>
          <w:sz w:val="26"/>
          <w:szCs w:val="26"/>
        </w:rPr>
        <w:t>общеобразовательных учреждений и детских дошкольных учреждений</w:t>
      </w:r>
      <w:r>
        <w:rPr>
          <w:rFonts w:ascii="Times New Roman" w:hAnsi="Times New Roman"/>
          <w:sz w:val="26"/>
          <w:szCs w:val="26"/>
        </w:rPr>
        <w:t>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 местного значения: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 здания детского сада на 33 места в д. Лонки-Ворцы до 2030 года;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здания общеобразовательной школы на 90 мест в д.Лонки-Ворцы до 2022 года.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586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3) Производственные </w:t>
      </w:r>
      <w:bookmarkStart w:id="1" w:name="fts_hit1221"/>
      <w:bookmarkEnd w:id="1"/>
      <w:r>
        <w:rPr>
          <w:rFonts w:ascii="Times New Roman" w:hAnsi="Times New Roman"/>
          <w:sz w:val="26"/>
          <w:szCs w:val="26"/>
        </w:rPr>
        <w:t xml:space="preserve">зоны, </w:t>
      </w:r>
      <w:bookmarkStart w:id="2" w:name="fts_hit1231"/>
      <w:bookmarkEnd w:id="2"/>
      <w:r>
        <w:rPr>
          <w:rFonts w:ascii="Times New Roman" w:hAnsi="Times New Roman"/>
          <w:sz w:val="26"/>
          <w:szCs w:val="26"/>
        </w:rPr>
        <w:t xml:space="preserve">зоны инженерной и транспортной инфраструктур 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3.1) Производственная зона - предназначена для размещения различных объектов производственного назначения не выше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класса санитарной опасности.</w:t>
      </w:r>
    </w:p>
    <w:p w:rsidR="00216E4C" w:rsidRDefault="00216E4C">
      <w:pPr>
        <w:pStyle w:val="a1"/>
        <w:tabs>
          <w:tab w:val="left" w:pos="571"/>
        </w:tabs>
        <w:spacing w:line="100" w:lineRule="atLeast"/>
        <w:ind w:left="1" w:right="1" w:firstLine="5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На расчетный срок планируется увеличение производственных территорий в границах муниципального образования на основании предложения ОАО «Удмуртнефть» и ООО «Белкамнефть» под развитие недродобывающих предприятий, которые будут располагаться с учетом особенностей территории с соблюдением действующих норм и правил.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Зона рекреационного назначения - предназначена для размещения объектов рекреации с различной рекреационной нагрузкой (леса, скверы, парки, сады, пруды, озера, пляжи, береговые полосы водных объектов общего пользования, а также в границах иных </w:t>
      </w:r>
      <w:r>
        <w:rPr>
          <w:rFonts w:ascii="Times New Roman" w:hAnsi="Times New Roman"/>
          <w:sz w:val="26"/>
          <w:szCs w:val="26"/>
        </w:rPr>
        <w:lastRenderedPageBreak/>
        <w:t>территорий, используемых и предназначенных для отдыха, туризма, занятий физической культурой и спортом).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планируемых к размещению объектов местного значения:</w:t>
      </w:r>
    </w:p>
    <w:p w:rsidR="00216E4C" w:rsidRDefault="00216E4C">
      <w:pPr>
        <w:pStyle w:val="a1"/>
        <w:spacing w:line="100" w:lineRule="atLeast"/>
        <w:ind w:left="1" w:right="1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рекреационной зоны на пруду р.Порвайка (1,5км к востоку от д.Лонки-Ворцы).</w:t>
      </w:r>
    </w:p>
    <w:p w:rsidR="00216E4C" w:rsidRDefault="00216E4C">
      <w:pPr>
        <w:pStyle w:val="a1"/>
        <w:tabs>
          <w:tab w:val="left" w:pos="556"/>
        </w:tabs>
        <w:spacing w:line="100" w:lineRule="atLeast"/>
        <w:ind w:left="1" w:right="1"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2</w:t>
      </w:r>
    </w:p>
    <w:p w:rsidR="00216E4C" w:rsidRDefault="00216E4C">
      <w:pPr>
        <w:pStyle w:val="a1"/>
        <w:spacing w:line="100" w:lineRule="atLeast"/>
        <w:ind w:left="1" w:right="1" w:firstLine="5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Графические материалы</w:t>
      </w:r>
    </w:p>
    <w:p w:rsidR="00216E4C" w:rsidRDefault="00216E4C">
      <w:pPr>
        <w:pStyle w:val="a1"/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</w:p>
    <w:p w:rsidR="00216E4C" w:rsidRDefault="00216E4C">
      <w:pPr>
        <w:pStyle w:val="a1"/>
        <w:tabs>
          <w:tab w:val="left" w:pos="601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Карта границ населенных пунктов согласно приложению 1 к Генеральному плану муниципального образования «Лонки-Ворцинское».</w:t>
      </w:r>
    </w:p>
    <w:p w:rsidR="00216E4C" w:rsidRDefault="00216E4C">
      <w:pPr>
        <w:pStyle w:val="a1"/>
        <w:tabs>
          <w:tab w:val="left" w:pos="601"/>
        </w:tabs>
        <w:spacing w:line="100" w:lineRule="atLeast"/>
        <w:ind w:left="1" w:right="1" w:firstLine="5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Карта функциональных зон согласно приложению 2 к Генеральному плану муниципального образования «Лонки-Ворцинское».</w:t>
      </w:r>
    </w:p>
    <w:p w:rsidR="00216E4C" w:rsidRDefault="00216E4C">
      <w:pPr>
        <w:pStyle w:val="a1"/>
        <w:numPr>
          <w:ilvl w:val="1"/>
          <w:numId w:val="16"/>
        </w:numPr>
        <w:tabs>
          <w:tab w:val="left" w:pos="601"/>
          <w:tab w:val="left" w:pos="841"/>
        </w:tabs>
        <w:spacing w:line="100" w:lineRule="atLeast"/>
        <w:ind w:left="1" w:right="1" w:firstLine="570"/>
      </w:pPr>
      <w:r>
        <w:rPr>
          <w:rFonts w:ascii="Times New Roman" w:hAnsi="Times New Roman"/>
          <w:sz w:val="26"/>
          <w:szCs w:val="26"/>
        </w:rPr>
        <w:t>Карта планируемого размещения объектов местного значения согласно приложению 3 к Генеральному плану муниципального образования «Лонки-Ворцинское».</w:t>
      </w:r>
    </w:p>
    <w:sectPr w:rsidR="00216E4C" w:rsidSect="00E60F5A">
      <w:footerReference w:type="even" r:id="rId8"/>
      <w:footerReference w:type="default" r:id="rId9"/>
      <w:pgSz w:w="11906" w:h="16838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FF" w:rsidRDefault="00B631FF">
      <w:r>
        <w:separator/>
      </w:r>
    </w:p>
  </w:endnote>
  <w:endnote w:type="continuationSeparator" w:id="0">
    <w:p w:rsidR="00B631FF" w:rsidRDefault="00B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type B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A" w:rsidRDefault="00E60F5A" w:rsidP="00E60F5A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F5A" w:rsidRDefault="00E60F5A" w:rsidP="00E60F5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A" w:rsidRDefault="00E60F5A" w:rsidP="00E60F5A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9CA">
      <w:rPr>
        <w:rStyle w:val="a5"/>
        <w:noProof/>
      </w:rPr>
      <w:t>1</w:t>
    </w:r>
    <w:r>
      <w:rPr>
        <w:rStyle w:val="a5"/>
      </w:rPr>
      <w:fldChar w:fldCharType="end"/>
    </w:r>
  </w:p>
  <w:p w:rsidR="00E60F5A" w:rsidRDefault="00E60F5A" w:rsidP="00E60F5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FF" w:rsidRDefault="00B631FF">
      <w:r>
        <w:separator/>
      </w:r>
    </w:p>
  </w:footnote>
  <w:footnote w:type="continuationSeparator" w:id="0">
    <w:p w:rsidR="00B631FF" w:rsidRDefault="00B6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1"/>
        </w:tabs>
        <w:ind w:left="3961" w:hanging="360"/>
      </w:pPr>
      <w:rPr>
        <w:rFonts w:ascii="OpenSymbol" w:hAnsi="OpenSymbol" w:cs="OpenSymbol"/>
        <w:sz w:val="24"/>
        <w:szCs w:val="24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5A"/>
    <w:rsid w:val="00216E4C"/>
    <w:rsid w:val="003019CA"/>
    <w:rsid w:val="00B631FF"/>
    <w:rsid w:val="00E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12">
    <w:name w:val="Заголовок_12"/>
    <w:rPr>
      <w:b/>
      <w:bCs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5z0">
    <w:name w:val="WW8Num15z0"/>
    <w:rPr>
      <w:rFonts w:ascii="Symbol" w:hAnsi="Symbol"/>
      <w:sz w:val="16"/>
      <w:szCs w:val="16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6">
    <w:name w:val="Маркеры списка"/>
    <w:rPr>
      <w:rFonts w:ascii="OpenSymbol" w:eastAsia="OpenSymbol" w:hAnsi="OpenSymbol" w:cs="OpenSymbol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29z0">
    <w:name w:val="WW8Num29z0"/>
    <w:rPr>
      <w:rFonts w:ascii="Symbol" w:hAnsi="Symbol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7z0">
    <w:name w:val="WW8Num37z0"/>
    <w:rPr>
      <w:rFonts w:ascii="Symbol" w:hAnsi="Symbol"/>
      <w:sz w:val="16"/>
      <w:szCs w:val="16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0">
    <w:name w:val="WW8Num27z0"/>
    <w:rPr>
      <w:rFonts w:ascii="Symbol" w:hAnsi="Symbol"/>
      <w:sz w:val="16"/>
      <w:szCs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a7">
    <w:name w:val="Символ нумерации"/>
    <w:rPr>
      <w:rFonts w:ascii="Times New Roman" w:hAnsi="Times New Roman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"/>
    <w:next w:val="a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1">
    <w:name w:val="Body Text"/>
    <w:basedOn w:val="a"/>
    <w:pPr>
      <w:suppressLineNumbers/>
      <w:suppressAutoHyphens w:val="0"/>
      <w:spacing w:line="360" w:lineRule="auto"/>
      <w:ind w:firstLine="397"/>
    </w:pPr>
    <w:rPr>
      <w:kern w:val="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врезки"/>
    <w:basedOn w:val="a1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основной надписи (лев.)"/>
    <w:pPr>
      <w:widowControl w:val="0"/>
      <w:suppressLineNumbers/>
      <w:suppressAutoHyphens/>
      <w:ind w:left="28"/>
      <w:textAlignment w:val="top"/>
    </w:pPr>
    <w:rPr>
      <w:rFonts w:ascii="GOST type B" w:eastAsia="Lucida Sans Unicode" w:hAnsi="GOST type B"/>
      <w:b/>
      <w:sz w:val="21"/>
      <w:szCs w:val="24"/>
      <w:lang/>
    </w:rPr>
  </w:style>
  <w:style w:type="paragraph" w:customStyle="1" w:styleId="af0">
    <w:name w:val="Заголовок основной надписи (центр"/>
    <w:aliases w:val=" 9)"/>
    <w:basedOn w:val="af"/>
    <w:pPr>
      <w:ind w:left="-28"/>
      <w:jc w:val="center"/>
    </w:pPr>
    <w:rPr>
      <w:sz w:val="18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af2">
    <w:name w:val="Заголовок бокового штампа (верт."/>
    <w:aliases w:val=" 90)"/>
    <w:pPr>
      <w:widowControl w:val="0"/>
      <w:suppressLineNumbers/>
      <w:suppressAutoHyphens/>
    </w:pPr>
    <w:rPr>
      <w:rFonts w:ascii="GOST type B" w:eastAsia="Lucida Sans Unicode" w:hAnsi="GOST type B"/>
      <w:b/>
      <w:sz w:val="22"/>
      <w:szCs w:val="24"/>
      <w:lang/>
      <w:eastAsianLayout w:vert="1"/>
    </w:rPr>
  </w:style>
  <w:style w:type="paragraph" w:customStyle="1" w:styleId="af3">
    <w:name w:val="Заголовок основной надписи (центр"/>
    <w:aliases w:val=" 10.5)"/>
    <w:basedOn w:val="af0"/>
    <w:rPr>
      <w:sz w:val="21"/>
    </w:rPr>
  </w:style>
  <w:style w:type="paragraph" w:customStyle="1" w:styleId="af4">
    <w:name w:val="Основная надпись"/>
    <w:pPr>
      <w:widowControl w:val="0"/>
      <w:suppressLineNumbers/>
      <w:suppressAutoHyphens/>
      <w:jc w:val="center"/>
    </w:pPr>
    <w:rPr>
      <w:rFonts w:ascii="GOST type B" w:eastAsia="Lucida Sans Unicode" w:hAnsi="GOST type B"/>
      <w:b/>
      <w:sz w:val="28"/>
      <w:szCs w:val="24"/>
      <w:lang/>
    </w:rPr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6">
    <w:name w:val="Текст документа"/>
    <w:pPr>
      <w:widowControl w:val="0"/>
      <w:suppressLineNumbers/>
      <w:suppressAutoHyphens/>
      <w:ind w:firstLine="397"/>
    </w:pPr>
    <w:rPr>
      <w:rFonts w:ascii="GOST type B" w:eastAsia="Lucida Sans Unicode" w:hAnsi="GOST type B"/>
      <w:kern w:val="1"/>
      <w:sz w:val="28"/>
      <w:szCs w:val="24"/>
      <w:lang/>
    </w:rPr>
  </w:style>
  <w:style w:type="paragraph" w:customStyle="1" w:styleId="af7">
    <w:name w:val="Заголовок основной надписи (центр"/>
    <w:aliases w:val=" 9, верт., 90)"/>
    <w:basedOn w:val="af0"/>
    <w:rPr>
      <w:eastAsianLayout w:vert="1"/>
    </w:rPr>
  </w:style>
  <w:style w:type="paragraph" w:customStyle="1" w:styleId="af8">
    <w:name w:val="Заголовок основной надписи (центр"/>
    <w:aliases w:val=" 10.5, верт., 90)"/>
    <w:basedOn w:val="af3"/>
    <w:rPr>
      <w:eastAsianLayout w:vert="1"/>
    </w:rPr>
  </w:style>
  <w:style w:type="paragraph" w:customStyle="1" w:styleId="af9">
    <w:name w:val="Заголовок основной надписи (лев."/>
    <w:aliases w:val=" верт., 90)"/>
    <w:basedOn w:val="af"/>
    <w:rPr>
      <w:eastAsianLayout w:vert="1"/>
    </w:rPr>
  </w:style>
  <w:style w:type="paragraph" w:customStyle="1" w:styleId="afa">
    <w:name w:val="Заголовок бокового штампа (верт."/>
    <w:aliases w:val=" 270)"/>
    <w:basedOn w:val="af2"/>
  </w:style>
  <w:style w:type="paragraph" w:customStyle="1" w:styleId="afb">
    <w:name w:val="Основная надпись (верт."/>
    <w:aliases w:val=" 90)"/>
    <w:basedOn w:val="af4"/>
    <w:rPr>
      <w:eastAsianLayout w:vert="1"/>
    </w:rPr>
  </w:style>
  <w:style w:type="paragraph" w:customStyle="1" w:styleId="afc">
    <w:name w:val="Заголовок основной надписи (лев."/>
    <w:aliases w:val=" верт., 270)"/>
    <w:basedOn w:val="af9"/>
  </w:style>
  <w:style w:type="paragraph" w:customStyle="1" w:styleId="afd">
    <w:name w:val="Заголовок основной надписи (центр"/>
    <w:aliases w:val=" 10.5, верт., 270)"/>
    <w:basedOn w:val="af8"/>
  </w:style>
  <w:style w:type="paragraph" w:customStyle="1" w:styleId="afe">
    <w:name w:val="Заголовок основной надписи (центр"/>
    <w:aliases w:val=" 9, верт., 270)"/>
    <w:basedOn w:val="af7"/>
  </w:style>
  <w:style w:type="paragraph" w:customStyle="1" w:styleId="aff">
    <w:name w:val="Основная надпись (верт."/>
    <w:aliases w:val=" 270)"/>
    <w:basedOn w:val="afb"/>
  </w:style>
  <w:style w:type="paragraph" w:customStyle="1" w:styleId="aff0">
    <w:name w:val="Заголовок бокового штампа"/>
    <w:basedOn w:val="af2"/>
  </w:style>
  <w:style w:type="paragraph" w:customStyle="1" w:styleId="S1">
    <w:name w:val="S_Заголовок 1"/>
    <w:basedOn w:val="a"/>
    <w:pPr>
      <w:numPr>
        <w:numId w:val="2"/>
      </w:numPr>
      <w:spacing w:line="360" w:lineRule="auto"/>
      <w:jc w:val="center"/>
    </w:pPr>
    <w:rPr>
      <w:caps/>
      <w:sz w:val="24"/>
    </w:rPr>
  </w:style>
  <w:style w:type="paragraph" w:styleId="aff1">
    <w:name w:val="Body Text Indent"/>
    <w:basedOn w:val="a"/>
    <w:pPr>
      <w:ind w:firstLine="720"/>
    </w:pPr>
    <w:rPr>
      <w:rFonts w:cs="Arial"/>
      <w:sz w:val="24"/>
    </w:rPr>
  </w:style>
  <w:style w:type="paragraph" w:customStyle="1" w:styleId="aff2">
    <w:name w:val="Абзац"/>
    <w:basedOn w:val="a"/>
    <w:pPr>
      <w:spacing w:before="120" w:after="60"/>
      <w:ind w:firstLine="567"/>
      <w:jc w:val="both"/>
    </w:pPr>
    <w:rPr>
      <w:sz w:val="24"/>
      <w:lang/>
    </w:rPr>
  </w:style>
  <w:style w:type="paragraph" w:customStyle="1" w:styleId="14">
    <w:name w:val="Маркированный список1"/>
    <w:basedOn w:val="a"/>
    <w:pPr>
      <w:numPr>
        <w:numId w:val="3"/>
      </w:numPr>
      <w:tabs>
        <w:tab w:val="left" w:pos="0"/>
      </w:tabs>
      <w:ind w:left="0" w:firstLine="0"/>
      <w:jc w:val="both"/>
    </w:pPr>
    <w:rPr>
      <w:b/>
      <w:sz w:val="24"/>
    </w:rPr>
  </w:style>
  <w:style w:type="paragraph" w:customStyle="1" w:styleId="S">
    <w:name w:val="S_Маркированный"/>
    <w:basedOn w:val="14"/>
    <w:pPr>
      <w:numPr>
        <w:numId w:val="0"/>
      </w:numPr>
      <w:tabs>
        <w:tab w:val="left" w:pos="993"/>
      </w:tabs>
    </w:pPr>
    <w:rPr>
      <w:b w:val="0"/>
      <w:lang/>
    </w:rPr>
  </w:style>
  <w:style w:type="paragraph" w:customStyle="1" w:styleId="S0">
    <w:name w:val="S_Обычный"/>
    <w:basedOn w:val="a"/>
    <w:pPr>
      <w:jc w:val="both"/>
    </w:pPr>
    <w:rPr>
      <w:b/>
      <w:sz w:val="24"/>
    </w:rPr>
  </w:style>
  <w:style w:type="paragraph" w:customStyle="1" w:styleId="S3">
    <w:name w:val="S_Заголовок 3"/>
    <w:basedOn w:val="3"/>
    <w:pPr>
      <w:keepNext w:val="0"/>
      <w:numPr>
        <w:ilvl w:val="2"/>
        <w:numId w:val="1"/>
      </w:numPr>
      <w:spacing w:before="0" w:after="0" w:line="360" w:lineRule="auto"/>
      <w:jc w:val="both"/>
    </w:pPr>
    <w:rPr>
      <w:rFonts w:ascii="Times New Roman" w:hAnsi="Times New Roman" w:cs="Times New Roman"/>
      <w:u w:val="single"/>
    </w:rPr>
  </w:style>
  <w:style w:type="paragraph" w:customStyle="1" w:styleId="S4">
    <w:name w:val="S_Заголовок 4"/>
    <w:basedOn w:val="4"/>
    <w:pPr>
      <w:keepNext w:val="0"/>
      <w:numPr>
        <w:ilvl w:val="3"/>
        <w:numId w:val="1"/>
      </w:numPr>
      <w:spacing w:line="360" w:lineRule="auto"/>
    </w:pPr>
    <w:rPr>
      <w:i/>
    </w:rPr>
  </w:style>
  <w:style w:type="paragraph" w:customStyle="1" w:styleId="S2">
    <w:name w:val="S_Маркированнай"/>
    <w:basedOn w:val="a"/>
    <w:pPr>
      <w:tabs>
        <w:tab w:val="left" w:pos="0"/>
        <w:tab w:val="left" w:pos="709"/>
        <w:tab w:val="left" w:pos="993"/>
      </w:tabs>
      <w:jc w:val="both"/>
    </w:pPr>
    <w:rPr>
      <w:sz w:val="24"/>
    </w:rPr>
  </w:style>
  <w:style w:type="paragraph" w:styleId="aff3">
    <w:name w:val="Normal (Web)"/>
    <w:basedOn w:val="a"/>
    <w:pPr>
      <w:spacing w:before="75" w:after="75"/>
    </w:pPr>
    <w:rPr>
      <w:sz w:val="24"/>
    </w:rPr>
  </w:style>
  <w:style w:type="paragraph" w:customStyle="1" w:styleId="100">
    <w:name w:val="Заголовок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12">
    <w:name w:val="Заголовок_12"/>
    <w:rPr>
      <w:b/>
      <w:bCs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5z0">
    <w:name w:val="WW8Num15z0"/>
    <w:rPr>
      <w:rFonts w:ascii="Symbol" w:hAnsi="Symbol"/>
      <w:sz w:val="16"/>
      <w:szCs w:val="16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6">
    <w:name w:val="Маркеры списка"/>
    <w:rPr>
      <w:rFonts w:ascii="OpenSymbol" w:eastAsia="OpenSymbol" w:hAnsi="OpenSymbol" w:cs="OpenSymbol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29z0">
    <w:name w:val="WW8Num29z0"/>
    <w:rPr>
      <w:rFonts w:ascii="Symbol" w:hAnsi="Symbol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7z0">
    <w:name w:val="WW8Num37z0"/>
    <w:rPr>
      <w:rFonts w:ascii="Symbol" w:hAnsi="Symbol"/>
      <w:sz w:val="16"/>
      <w:szCs w:val="16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0">
    <w:name w:val="WW8Num27z0"/>
    <w:rPr>
      <w:rFonts w:ascii="Symbol" w:hAnsi="Symbol"/>
      <w:sz w:val="16"/>
      <w:szCs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a7">
    <w:name w:val="Символ нумерации"/>
    <w:rPr>
      <w:rFonts w:ascii="Times New Roman" w:hAnsi="Times New Roman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"/>
    <w:next w:val="a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1">
    <w:name w:val="Body Text"/>
    <w:basedOn w:val="a"/>
    <w:pPr>
      <w:suppressLineNumbers/>
      <w:suppressAutoHyphens w:val="0"/>
      <w:spacing w:line="360" w:lineRule="auto"/>
      <w:ind w:firstLine="397"/>
    </w:pPr>
    <w:rPr>
      <w:kern w:val="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врезки"/>
    <w:basedOn w:val="a1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основной надписи (лев.)"/>
    <w:pPr>
      <w:widowControl w:val="0"/>
      <w:suppressLineNumbers/>
      <w:suppressAutoHyphens/>
      <w:ind w:left="28"/>
      <w:textAlignment w:val="top"/>
    </w:pPr>
    <w:rPr>
      <w:rFonts w:ascii="GOST type B" w:eastAsia="Lucida Sans Unicode" w:hAnsi="GOST type B"/>
      <w:b/>
      <w:sz w:val="21"/>
      <w:szCs w:val="24"/>
      <w:lang/>
    </w:rPr>
  </w:style>
  <w:style w:type="paragraph" w:customStyle="1" w:styleId="af0">
    <w:name w:val="Заголовок основной надписи (центр"/>
    <w:aliases w:val=" 9)"/>
    <w:basedOn w:val="af"/>
    <w:pPr>
      <w:ind w:left="-28"/>
      <w:jc w:val="center"/>
    </w:pPr>
    <w:rPr>
      <w:sz w:val="18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af2">
    <w:name w:val="Заголовок бокового штампа (верт."/>
    <w:aliases w:val=" 90)"/>
    <w:pPr>
      <w:widowControl w:val="0"/>
      <w:suppressLineNumbers/>
      <w:suppressAutoHyphens/>
    </w:pPr>
    <w:rPr>
      <w:rFonts w:ascii="GOST type B" w:eastAsia="Lucida Sans Unicode" w:hAnsi="GOST type B"/>
      <w:b/>
      <w:sz w:val="22"/>
      <w:szCs w:val="24"/>
      <w:lang/>
      <w:eastAsianLayout w:vert="1"/>
    </w:rPr>
  </w:style>
  <w:style w:type="paragraph" w:customStyle="1" w:styleId="af3">
    <w:name w:val="Заголовок основной надписи (центр"/>
    <w:aliases w:val=" 10.5)"/>
    <w:basedOn w:val="af0"/>
    <w:rPr>
      <w:sz w:val="21"/>
    </w:rPr>
  </w:style>
  <w:style w:type="paragraph" w:customStyle="1" w:styleId="af4">
    <w:name w:val="Основная надпись"/>
    <w:pPr>
      <w:widowControl w:val="0"/>
      <w:suppressLineNumbers/>
      <w:suppressAutoHyphens/>
      <w:jc w:val="center"/>
    </w:pPr>
    <w:rPr>
      <w:rFonts w:ascii="GOST type B" w:eastAsia="Lucida Sans Unicode" w:hAnsi="GOST type B"/>
      <w:b/>
      <w:sz w:val="28"/>
      <w:szCs w:val="24"/>
      <w:lang/>
    </w:rPr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6">
    <w:name w:val="Текст документа"/>
    <w:pPr>
      <w:widowControl w:val="0"/>
      <w:suppressLineNumbers/>
      <w:suppressAutoHyphens/>
      <w:ind w:firstLine="397"/>
    </w:pPr>
    <w:rPr>
      <w:rFonts w:ascii="GOST type B" w:eastAsia="Lucida Sans Unicode" w:hAnsi="GOST type B"/>
      <w:kern w:val="1"/>
      <w:sz w:val="28"/>
      <w:szCs w:val="24"/>
      <w:lang/>
    </w:rPr>
  </w:style>
  <w:style w:type="paragraph" w:customStyle="1" w:styleId="af7">
    <w:name w:val="Заголовок основной надписи (центр"/>
    <w:aliases w:val=" 9, верт., 90)"/>
    <w:basedOn w:val="af0"/>
    <w:rPr>
      <w:eastAsianLayout w:vert="1"/>
    </w:rPr>
  </w:style>
  <w:style w:type="paragraph" w:customStyle="1" w:styleId="af8">
    <w:name w:val="Заголовок основной надписи (центр"/>
    <w:aliases w:val=" 10.5, верт., 90)"/>
    <w:basedOn w:val="af3"/>
    <w:rPr>
      <w:eastAsianLayout w:vert="1"/>
    </w:rPr>
  </w:style>
  <w:style w:type="paragraph" w:customStyle="1" w:styleId="af9">
    <w:name w:val="Заголовок основной надписи (лев."/>
    <w:aliases w:val=" верт., 90)"/>
    <w:basedOn w:val="af"/>
    <w:rPr>
      <w:eastAsianLayout w:vert="1"/>
    </w:rPr>
  </w:style>
  <w:style w:type="paragraph" w:customStyle="1" w:styleId="afa">
    <w:name w:val="Заголовок бокового штампа (верт."/>
    <w:aliases w:val=" 270)"/>
    <w:basedOn w:val="af2"/>
  </w:style>
  <w:style w:type="paragraph" w:customStyle="1" w:styleId="afb">
    <w:name w:val="Основная надпись (верт."/>
    <w:aliases w:val=" 90)"/>
    <w:basedOn w:val="af4"/>
    <w:rPr>
      <w:eastAsianLayout w:vert="1"/>
    </w:rPr>
  </w:style>
  <w:style w:type="paragraph" w:customStyle="1" w:styleId="afc">
    <w:name w:val="Заголовок основной надписи (лев."/>
    <w:aliases w:val=" верт., 270)"/>
    <w:basedOn w:val="af9"/>
  </w:style>
  <w:style w:type="paragraph" w:customStyle="1" w:styleId="afd">
    <w:name w:val="Заголовок основной надписи (центр"/>
    <w:aliases w:val=" 10.5, верт., 270)"/>
    <w:basedOn w:val="af8"/>
  </w:style>
  <w:style w:type="paragraph" w:customStyle="1" w:styleId="afe">
    <w:name w:val="Заголовок основной надписи (центр"/>
    <w:aliases w:val=" 9, верт., 270)"/>
    <w:basedOn w:val="af7"/>
  </w:style>
  <w:style w:type="paragraph" w:customStyle="1" w:styleId="aff">
    <w:name w:val="Основная надпись (верт."/>
    <w:aliases w:val=" 270)"/>
    <w:basedOn w:val="afb"/>
  </w:style>
  <w:style w:type="paragraph" w:customStyle="1" w:styleId="aff0">
    <w:name w:val="Заголовок бокового штампа"/>
    <w:basedOn w:val="af2"/>
  </w:style>
  <w:style w:type="paragraph" w:customStyle="1" w:styleId="S1">
    <w:name w:val="S_Заголовок 1"/>
    <w:basedOn w:val="a"/>
    <w:pPr>
      <w:numPr>
        <w:numId w:val="2"/>
      </w:numPr>
      <w:spacing w:line="360" w:lineRule="auto"/>
      <w:jc w:val="center"/>
    </w:pPr>
    <w:rPr>
      <w:caps/>
      <w:sz w:val="24"/>
    </w:rPr>
  </w:style>
  <w:style w:type="paragraph" w:styleId="aff1">
    <w:name w:val="Body Text Indent"/>
    <w:basedOn w:val="a"/>
    <w:pPr>
      <w:ind w:firstLine="720"/>
    </w:pPr>
    <w:rPr>
      <w:rFonts w:cs="Arial"/>
      <w:sz w:val="24"/>
    </w:rPr>
  </w:style>
  <w:style w:type="paragraph" w:customStyle="1" w:styleId="aff2">
    <w:name w:val="Абзац"/>
    <w:basedOn w:val="a"/>
    <w:pPr>
      <w:spacing w:before="120" w:after="60"/>
      <w:ind w:firstLine="567"/>
      <w:jc w:val="both"/>
    </w:pPr>
    <w:rPr>
      <w:sz w:val="24"/>
      <w:lang/>
    </w:rPr>
  </w:style>
  <w:style w:type="paragraph" w:customStyle="1" w:styleId="14">
    <w:name w:val="Маркированный список1"/>
    <w:basedOn w:val="a"/>
    <w:pPr>
      <w:numPr>
        <w:numId w:val="3"/>
      </w:numPr>
      <w:tabs>
        <w:tab w:val="left" w:pos="0"/>
      </w:tabs>
      <w:ind w:left="0" w:firstLine="0"/>
      <w:jc w:val="both"/>
    </w:pPr>
    <w:rPr>
      <w:b/>
      <w:sz w:val="24"/>
    </w:rPr>
  </w:style>
  <w:style w:type="paragraph" w:customStyle="1" w:styleId="S">
    <w:name w:val="S_Маркированный"/>
    <w:basedOn w:val="14"/>
    <w:pPr>
      <w:numPr>
        <w:numId w:val="0"/>
      </w:numPr>
      <w:tabs>
        <w:tab w:val="left" w:pos="993"/>
      </w:tabs>
    </w:pPr>
    <w:rPr>
      <w:b w:val="0"/>
      <w:lang/>
    </w:rPr>
  </w:style>
  <w:style w:type="paragraph" w:customStyle="1" w:styleId="S0">
    <w:name w:val="S_Обычный"/>
    <w:basedOn w:val="a"/>
    <w:pPr>
      <w:jc w:val="both"/>
    </w:pPr>
    <w:rPr>
      <w:b/>
      <w:sz w:val="24"/>
    </w:rPr>
  </w:style>
  <w:style w:type="paragraph" w:customStyle="1" w:styleId="S3">
    <w:name w:val="S_Заголовок 3"/>
    <w:basedOn w:val="3"/>
    <w:pPr>
      <w:keepNext w:val="0"/>
      <w:numPr>
        <w:ilvl w:val="2"/>
        <w:numId w:val="1"/>
      </w:numPr>
      <w:spacing w:before="0" w:after="0" w:line="360" w:lineRule="auto"/>
      <w:jc w:val="both"/>
    </w:pPr>
    <w:rPr>
      <w:rFonts w:ascii="Times New Roman" w:hAnsi="Times New Roman" w:cs="Times New Roman"/>
      <w:u w:val="single"/>
    </w:rPr>
  </w:style>
  <w:style w:type="paragraph" w:customStyle="1" w:styleId="S4">
    <w:name w:val="S_Заголовок 4"/>
    <w:basedOn w:val="4"/>
    <w:pPr>
      <w:keepNext w:val="0"/>
      <w:numPr>
        <w:ilvl w:val="3"/>
        <w:numId w:val="1"/>
      </w:numPr>
      <w:spacing w:line="360" w:lineRule="auto"/>
    </w:pPr>
    <w:rPr>
      <w:i/>
    </w:rPr>
  </w:style>
  <w:style w:type="paragraph" w:customStyle="1" w:styleId="S2">
    <w:name w:val="S_Маркированнай"/>
    <w:basedOn w:val="a"/>
    <w:pPr>
      <w:tabs>
        <w:tab w:val="left" w:pos="0"/>
        <w:tab w:val="left" w:pos="709"/>
        <w:tab w:val="left" w:pos="993"/>
      </w:tabs>
      <w:jc w:val="both"/>
    </w:pPr>
    <w:rPr>
      <w:sz w:val="24"/>
    </w:rPr>
  </w:style>
  <w:style w:type="paragraph" w:styleId="aff3">
    <w:name w:val="Normal (Web)"/>
    <w:basedOn w:val="a"/>
    <w:pPr>
      <w:spacing w:before="75" w:after="75"/>
    </w:pPr>
    <w:rPr>
      <w:sz w:val="24"/>
    </w:rPr>
  </w:style>
  <w:style w:type="paragraph" w:customStyle="1" w:styleId="100">
    <w:name w:val="Заголовок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Удмуртгражданпроект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2018-01-30T05:43:00Z</cp:lastPrinted>
  <dcterms:created xsi:type="dcterms:W3CDTF">2019-11-01T10:10:00Z</dcterms:created>
  <dcterms:modified xsi:type="dcterms:W3CDTF">2019-11-01T10:10:00Z</dcterms:modified>
</cp:coreProperties>
</file>