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8C" w:rsidRPr="00044C8C" w:rsidRDefault="00044C8C" w:rsidP="00044C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4C8C">
        <w:rPr>
          <w:b/>
          <w:sz w:val="28"/>
          <w:szCs w:val="28"/>
        </w:rPr>
        <w:t>Строительство</w:t>
      </w:r>
    </w:p>
    <w:p w:rsidR="00044C8C" w:rsidRPr="00044C8C" w:rsidRDefault="00044C8C" w:rsidP="00044C8C">
      <w:pPr>
        <w:jc w:val="both"/>
        <w:rPr>
          <w:sz w:val="28"/>
        </w:rPr>
      </w:pPr>
    </w:p>
    <w:p w:rsidR="00044C8C" w:rsidRPr="00044C8C" w:rsidRDefault="00044C8C" w:rsidP="00044C8C">
      <w:pPr>
        <w:ind w:firstLine="720"/>
        <w:jc w:val="both"/>
        <w:rPr>
          <w:sz w:val="28"/>
          <w:szCs w:val="28"/>
        </w:rPr>
      </w:pPr>
      <w:r w:rsidRPr="00044C8C">
        <w:rPr>
          <w:sz w:val="28"/>
          <w:szCs w:val="28"/>
        </w:rPr>
        <w:t>По крупным и средним предприятиям в январе-декабре 2019 года инвестиции в основной капитал (новые основные фонды) составили 254411 тысяч рублей, что в фактических ценах составило 139,7% к соответствующему периоду прошлого года.  В рейтинге среди 30 городов и районов УР по этому показателю Игринский  район занимает 18 место.</w:t>
      </w:r>
    </w:p>
    <w:p w:rsidR="00044C8C" w:rsidRPr="00044C8C" w:rsidRDefault="00044C8C" w:rsidP="00044C8C">
      <w:pPr>
        <w:jc w:val="both"/>
        <w:rPr>
          <w:sz w:val="28"/>
          <w:szCs w:val="28"/>
        </w:rPr>
      </w:pPr>
      <w:r w:rsidRPr="00044C8C">
        <w:rPr>
          <w:sz w:val="28"/>
          <w:szCs w:val="28"/>
        </w:rPr>
        <w:t xml:space="preserve">          Менее половины 47,2% объема инвестиций в основной капитал предприятия направили на приобретение машин и оборудования, транспортных средств, производственного и хозяйственного инвентаря, 21,7% - на возведение зданий (кроме жилых) и сооружений,   17,0  - на формирование рабочего, продуктивного и племенного скота.  </w:t>
      </w:r>
    </w:p>
    <w:p w:rsidR="00044C8C" w:rsidRPr="00044C8C" w:rsidRDefault="00044C8C" w:rsidP="00044C8C">
      <w:pPr>
        <w:jc w:val="both"/>
        <w:rPr>
          <w:sz w:val="28"/>
          <w:szCs w:val="28"/>
        </w:rPr>
      </w:pPr>
      <w:r w:rsidRPr="00044C8C">
        <w:rPr>
          <w:sz w:val="28"/>
          <w:szCs w:val="28"/>
        </w:rPr>
        <w:t xml:space="preserve">        Источниками финансирования инвестиций в основной капитал составляют собственные средства 47,7% и 52,3 % привлеченные средства, из них 8,8% - кредиты банков, 0,8% – заемные средства других организаций, 39,3% - бюджетные средства, 0,04 % - средства внебюджетных фондов, 3,0% - прочие средства от общего объема инвестиций.</w:t>
      </w:r>
    </w:p>
    <w:p w:rsidR="00044C8C" w:rsidRPr="00044C8C" w:rsidRDefault="00044C8C" w:rsidP="00044C8C">
      <w:pPr>
        <w:jc w:val="both"/>
        <w:rPr>
          <w:sz w:val="28"/>
          <w:szCs w:val="28"/>
        </w:rPr>
      </w:pPr>
      <w:r w:rsidRPr="00044C8C">
        <w:rPr>
          <w:sz w:val="28"/>
          <w:szCs w:val="28"/>
        </w:rPr>
        <w:t xml:space="preserve">       Оперативным данным за отчетный период в районе с учетом индивидуального жилья сдано 11856 кв.м. общей площади жилых домов, что составило 103,1% к соответствующему периоду предыдущего года.</w:t>
      </w:r>
    </w:p>
    <w:p w:rsidR="00044C8C" w:rsidRPr="00044C8C" w:rsidRDefault="00044C8C" w:rsidP="00044C8C">
      <w:pPr>
        <w:jc w:val="both"/>
        <w:rPr>
          <w:sz w:val="28"/>
          <w:szCs w:val="28"/>
        </w:rPr>
      </w:pPr>
    </w:p>
    <w:p w:rsidR="00C150F5" w:rsidRPr="00044C8C" w:rsidRDefault="00C150F5"/>
    <w:sectPr w:rsidR="00C150F5" w:rsidRPr="00044C8C" w:rsidSect="00C1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8C"/>
    <w:rsid w:val="00044C8C"/>
    <w:rsid w:val="00327241"/>
    <w:rsid w:val="00C1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kgsur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2020-03-12T12:39:00Z</dcterms:created>
  <dcterms:modified xsi:type="dcterms:W3CDTF">2020-03-12T12:39:00Z</dcterms:modified>
</cp:coreProperties>
</file>