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7E" w:rsidRPr="002571E3" w:rsidRDefault="0032357E" w:rsidP="0032357E">
      <w:pPr>
        <w:pStyle w:val="1"/>
        <w:jc w:val="center"/>
        <w:rPr>
          <w:rFonts w:ascii="Times New Roman" w:hAnsi="Times New Roman" w:cs="Times New Roman"/>
          <w:sz w:val="24"/>
          <w:szCs w:val="24"/>
        </w:rPr>
      </w:pPr>
      <w:r w:rsidRPr="008E025F">
        <w:rPr>
          <w:rFonts w:ascii="Times New Roman" w:hAnsi="Times New Roman" w:cs="Times New Roman"/>
          <w:sz w:val="24"/>
          <w:szCs w:val="24"/>
        </w:rPr>
        <w:t>Малое и среднее предпринимательство</w:t>
      </w:r>
    </w:p>
    <w:p w:rsidR="0032357E" w:rsidRPr="00636BBF" w:rsidRDefault="0032357E" w:rsidP="0032357E">
      <w:pPr>
        <w:ind w:rightChars="-1" w:right="-2" w:firstLine="851"/>
        <w:rPr>
          <w:bCs/>
        </w:rPr>
      </w:pPr>
      <w:proofErr w:type="gramStart"/>
      <w:r w:rsidRPr="00636BBF">
        <w:rPr>
          <w:rFonts w:cs="Tahoma"/>
        </w:rPr>
        <w:t xml:space="preserve">Система поддержки малого  и среднего предпринимательства в районе реализуется </w:t>
      </w:r>
      <w:r w:rsidRPr="00636BBF">
        <w:t xml:space="preserve"> в соответствии с положениями федерального законодательства и  муниципальной подпрограммой «Создание благоприятных условий для развития малого и среднего предпринимательства в Игринском районе» муниципальной программы </w:t>
      </w:r>
      <w:r w:rsidRPr="00636BBF">
        <w:rPr>
          <w:b/>
        </w:rPr>
        <w:t>«</w:t>
      </w:r>
      <w:r w:rsidRPr="00636BBF">
        <w:t xml:space="preserve">Создание условий для устойчивого экономического развития  муниципального образования  «Игринский район» на 2015-2020 годы»,  утвержденной постановлением Администрации МО «Игринский район» от 30 мая 2014года №1052. </w:t>
      </w:r>
      <w:r w:rsidRPr="00636BBF">
        <w:rPr>
          <w:bCs/>
        </w:rPr>
        <w:t xml:space="preserve"> </w:t>
      </w:r>
      <w:proofErr w:type="gramEnd"/>
    </w:p>
    <w:p w:rsidR="0032357E" w:rsidRPr="00636BBF" w:rsidRDefault="0032357E" w:rsidP="0032357E">
      <w:pPr>
        <w:ind w:rightChars="-1" w:right="-2" w:firstLine="851"/>
        <w:rPr>
          <w:bCs/>
          <w:color w:val="FF0000"/>
        </w:rPr>
      </w:pPr>
      <w:r w:rsidRPr="00636BBF">
        <w:rPr>
          <w:bCs/>
        </w:rPr>
        <w:t>На 01.01.2016года   число индивидуальных предпринимателей  составило  720 чел., (678-2014г.) и увеличилось   на 42 ед. по сравнению с 2014 годом, что составило 106,2% к  2014году.</w:t>
      </w:r>
      <w:r w:rsidRPr="00636BBF">
        <w:rPr>
          <w:bCs/>
          <w:color w:val="FF0000"/>
        </w:rPr>
        <w:t xml:space="preserve">   </w:t>
      </w:r>
    </w:p>
    <w:p w:rsidR="0032357E" w:rsidRPr="00636BBF" w:rsidRDefault="0032357E" w:rsidP="0032357E">
      <w:pPr>
        <w:ind w:rightChars="-1" w:right="-2" w:firstLine="851"/>
        <w:rPr>
          <w:bCs/>
        </w:rPr>
      </w:pPr>
      <w:r w:rsidRPr="00636BBF">
        <w:rPr>
          <w:bCs/>
        </w:rPr>
        <w:t xml:space="preserve">За 2015год в бюджет Игринского района поступило 11321,4 тыс. руб. (2014г.-10367,9 тыс. руб.) отчислений  по единому налогу на вмененный доход для отдельных видов деятельности. Прирост поступления единого налога на вмененный доход  за  2015год по сравнению с 2014годом </w:t>
      </w:r>
      <w:r>
        <w:rPr>
          <w:bCs/>
        </w:rPr>
        <w:t xml:space="preserve"> составил 953,5тыс. руб.</w:t>
      </w:r>
      <w:r w:rsidRPr="00636BBF">
        <w:rPr>
          <w:bCs/>
        </w:rPr>
        <w:t xml:space="preserve">  Доля  поступившего единого налога на вмененный доход в собственных доходах бюджета района на 01.10.2016года  составила 3,7%</w:t>
      </w:r>
      <w:r>
        <w:rPr>
          <w:bCs/>
        </w:rPr>
        <w:t xml:space="preserve"> </w:t>
      </w:r>
      <w:r w:rsidRPr="00636BBF">
        <w:rPr>
          <w:bCs/>
        </w:rPr>
        <w:t xml:space="preserve">(2014г.-3,36%).  Поступление налога, взимаемого  в связи с применением патентной системы налогообложения,  в бюджет района составило в 2015году 112,9тыс. руб. (2014г.-280,6тыс. руб).  </w:t>
      </w:r>
    </w:p>
    <w:p w:rsidR="0032357E" w:rsidRPr="00636BBF" w:rsidRDefault="0032357E" w:rsidP="0032357E">
      <w:pPr>
        <w:ind w:rightChars="-1" w:right="-2" w:firstLine="851"/>
        <w:rPr>
          <w:bCs/>
        </w:rPr>
      </w:pPr>
      <w:r w:rsidRPr="00636BBF">
        <w:rPr>
          <w:bCs/>
        </w:rPr>
        <w:t>На реализацию мероприятий муниципальной подпрограммы «</w:t>
      </w:r>
      <w:r w:rsidRPr="00636BBF">
        <w:t>Создание благоприятных условий для развития малого и среднего предпринимательства в Игринском районе»</w:t>
      </w:r>
      <w:r w:rsidRPr="00636BBF">
        <w:rPr>
          <w:bCs/>
        </w:rPr>
        <w:t xml:space="preserve"> было получено из бюджета Удмуртской Республики 1708,5 тыс. руб. Из местного бюджета на эти цели  направлено софинансирование в сумме  8,5 тыс. руб.</w:t>
      </w:r>
    </w:p>
    <w:p w:rsidR="0032357E" w:rsidRPr="00636BBF" w:rsidRDefault="0032357E" w:rsidP="0032357E">
      <w:pPr>
        <w:pStyle w:val="Web"/>
        <w:spacing w:before="0" w:after="0"/>
        <w:ind w:firstLine="360"/>
        <w:jc w:val="center"/>
        <w:rPr>
          <w:b/>
          <w:snapToGrid w:val="0"/>
          <w:color w:val="000000"/>
          <w:szCs w:val="24"/>
        </w:rPr>
      </w:pPr>
      <w:r w:rsidRPr="00636BBF">
        <w:rPr>
          <w:b/>
          <w:snapToGrid w:val="0"/>
          <w:color w:val="000000"/>
          <w:szCs w:val="24"/>
        </w:rPr>
        <w:t>Перечень реализованных Мероприятий и  суммы, использованн</w:t>
      </w:r>
      <w:r>
        <w:rPr>
          <w:b/>
          <w:snapToGrid w:val="0"/>
          <w:color w:val="000000"/>
          <w:szCs w:val="24"/>
        </w:rPr>
        <w:t>ые на их реализацию, в 2015году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1417"/>
        <w:gridCol w:w="1701"/>
        <w:gridCol w:w="993"/>
      </w:tblGrid>
      <w:tr w:rsidR="0032357E" w:rsidRPr="00636BBF" w:rsidTr="005A6A56">
        <w:tc>
          <w:tcPr>
            <w:tcW w:w="675" w:type="dxa"/>
            <w:vMerge w:val="restart"/>
            <w:shd w:val="clear" w:color="auto" w:fill="auto"/>
          </w:tcPr>
          <w:p w:rsidR="0032357E" w:rsidRPr="00636BBF" w:rsidRDefault="0032357E" w:rsidP="005A6A56">
            <w:pPr>
              <w:pStyle w:val="Web"/>
              <w:jc w:val="center"/>
              <w:rPr>
                <w:snapToGrid w:val="0"/>
                <w:color w:val="000000"/>
                <w:szCs w:val="24"/>
              </w:rPr>
            </w:pPr>
            <w:r w:rsidRPr="00636BBF">
              <w:rPr>
                <w:snapToGrid w:val="0"/>
                <w:color w:val="000000"/>
                <w:szCs w:val="24"/>
              </w:rPr>
              <w:t>№</w:t>
            </w:r>
          </w:p>
        </w:tc>
        <w:tc>
          <w:tcPr>
            <w:tcW w:w="5387" w:type="dxa"/>
            <w:vMerge w:val="restart"/>
            <w:shd w:val="clear" w:color="auto" w:fill="auto"/>
          </w:tcPr>
          <w:p w:rsidR="0032357E" w:rsidRPr="00636BBF" w:rsidRDefault="0032357E" w:rsidP="005A6A56">
            <w:pPr>
              <w:pStyle w:val="Web"/>
              <w:spacing w:before="0" w:after="0"/>
              <w:jc w:val="center"/>
              <w:rPr>
                <w:snapToGrid w:val="0"/>
                <w:color w:val="000000"/>
                <w:szCs w:val="24"/>
              </w:rPr>
            </w:pPr>
          </w:p>
          <w:p w:rsidR="0032357E" w:rsidRPr="00636BBF" w:rsidRDefault="0032357E" w:rsidP="005A6A56">
            <w:pPr>
              <w:pStyle w:val="Web"/>
              <w:spacing w:before="0" w:after="0"/>
              <w:jc w:val="center"/>
              <w:rPr>
                <w:snapToGrid w:val="0"/>
                <w:color w:val="000000"/>
                <w:szCs w:val="24"/>
              </w:rPr>
            </w:pPr>
            <w:r w:rsidRPr="00636BBF">
              <w:rPr>
                <w:snapToGrid w:val="0"/>
                <w:color w:val="000000"/>
                <w:szCs w:val="24"/>
              </w:rPr>
              <w:t xml:space="preserve">Наименование </w:t>
            </w:r>
            <w:r>
              <w:rPr>
                <w:snapToGrid w:val="0"/>
                <w:color w:val="000000"/>
                <w:szCs w:val="24"/>
              </w:rPr>
              <w:t>м</w:t>
            </w:r>
            <w:r w:rsidRPr="00636BBF">
              <w:rPr>
                <w:snapToGrid w:val="0"/>
                <w:color w:val="000000"/>
                <w:szCs w:val="24"/>
              </w:rPr>
              <w:t>ероприятий</w:t>
            </w:r>
          </w:p>
        </w:tc>
        <w:tc>
          <w:tcPr>
            <w:tcW w:w="4111" w:type="dxa"/>
            <w:gridSpan w:val="3"/>
          </w:tcPr>
          <w:p w:rsidR="0032357E" w:rsidRPr="00636BBF" w:rsidRDefault="0032357E" w:rsidP="005A6A56">
            <w:pPr>
              <w:pStyle w:val="Web"/>
              <w:spacing w:before="0" w:after="0"/>
              <w:jc w:val="center"/>
              <w:rPr>
                <w:snapToGrid w:val="0"/>
                <w:color w:val="000000"/>
                <w:szCs w:val="24"/>
              </w:rPr>
            </w:pPr>
            <w:r w:rsidRPr="00636BBF">
              <w:rPr>
                <w:snapToGrid w:val="0"/>
                <w:color w:val="000000"/>
                <w:szCs w:val="24"/>
              </w:rPr>
              <w:t>Суммы потраченные на их</w:t>
            </w:r>
          </w:p>
          <w:p w:rsidR="0032357E" w:rsidRPr="00636BBF" w:rsidRDefault="0032357E" w:rsidP="005A6A56">
            <w:pPr>
              <w:pStyle w:val="Web"/>
              <w:spacing w:before="0" w:after="0"/>
              <w:jc w:val="center"/>
              <w:rPr>
                <w:snapToGrid w:val="0"/>
                <w:color w:val="000000"/>
                <w:szCs w:val="24"/>
              </w:rPr>
            </w:pPr>
            <w:r w:rsidRPr="00636BBF">
              <w:rPr>
                <w:snapToGrid w:val="0"/>
                <w:color w:val="000000"/>
                <w:szCs w:val="24"/>
              </w:rPr>
              <w:t>реализацию, руб.</w:t>
            </w:r>
          </w:p>
        </w:tc>
      </w:tr>
      <w:tr w:rsidR="0032357E" w:rsidRPr="00636BBF" w:rsidTr="005A6A56">
        <w:tc>
          <w:tcPr>
            <w:tcW w:w="675" w:type="dxa"/>
            <w:vMerge/>
            <w:shd w:val="clear" w:color="auto" w:fill="auto"/>
          </w:tcPr>
          <w:p w:rsidR="0032357E" w:rsidRPr="00636BBF" w:rsidRDefault="0032357E" w:rsidP="005A6A56">
            <w:pPr>
              <w:pStyle w:val="Web"/>
              <w:jc w:val="center"/>
              <w:rPr>
                <w:snapToGrid w:val="0"/>
                <w:color w:val="000000"/>
                <w:szCs w:val="24"/>
              </w:rPr>
            </w:pPr>
          </w:p>
        </w:tc>
        <w:tc>
          <w:tcPr>
            <w:tcW w:w="5387" w:type="dxa"/>
            <w:vMerge/>
            <w:shd w:val="clear" w:color="auto" w:fill="auto"/>
          </w:tcPr>
          <w:p w:rsidR="0032357E" w:rsidRPr="00636BBF" w:rsidRDefault="0032357E" w:rsidP="005A6A56">
            <w:pPr>
              <w:pStyle w:val="Web"/>
              <w:jc w:val="center"/>
              <w:rPr>
                <w:snapToGrid w:val="0"/>
                <w:color w:val="000000"/>
                <w:szCs w:val="24"/>
              </w:rPr>
            </w:pPr>
          </w:p>
        </w:tc>
        <w:tc>
          <w:tcPr>
            <w:tcW w:w="1417" w:type="dxa"/>
          </w:tcPr>
          <w:p w:rsidR="0032357E" w:rsidRPr="00636BBF" w:rsidRDefault="0032357E" w:rsidP="005A6A56">
            <w:pPr>
              <w:pStyle w:val="Web"/>
              <w:spacing w:before="0" w:after="0"/>
              <w:ind w:left="-57" w:right="-57"/>
              <w:jc w:val="center"/>
              <w:rPr>
                <w:snapToGrid w:val="0"/>
                <w:color w:val="000000"/>
                <w:szCs w:val="24"/>
              </w:rPr>
            </w:pPr>
            <w:r w:rsidRPr="00636BBF">
              <w:rPr>
                <w:snapToGrid w:val="0"/>
                <w:color w:val="000000"/>
                <w:szCs w:val="24"/>
              </w:rPr>
              <w:t>Всего</w:t>
            </w:r>
          </w:p>
        </w:tc>
        <w:tc>
          <w:tcPr>
            <w:tcW w:w="1701" w:type="dxa"/>
          </w:tcPr>
          <w:p w:rsidR="0032357E" w:rsidRPr="00636BBF" w:rsidRDefault="0032357E" w:rsidP="005A6A56">
            <w:pPr>
              <w:pStyle w:val="Web"/>
              <w:spacing w:before="0" w:after="0"/>
              <w:ind w:left="-57" w:right="-57"/>
              <w:jc w:val="center"/>
              <w:rPr>
                <w:snapToGrid w:val="0"/>
                <w:color w:val="000000"/>
                <w:szCs w:val="24"/>
              </w:rPr>
            </w:pPr>
            <w:r w:rsidRPr="00636BBF">
              <w:rPr>
                <w:snapToGrid w:val="0"/>
                <w:color w:val="000000"/>
                <w:szCs w:val="24"/>
              </w:rPr>
              <w:t>Из бюджета УР</w:t>
            </w:r>
          </w:p>
        </w:tc>
        <w:tc>
          <w:tcPr>
            <w:tcW w:w="993" w:type="dxa"/>
          </w:tcPr>
          <w:p w:rsidR="0032357E" w:rsidRPr="00636BBF" w:rsidRDefault="0032357E" w:rsidP="005A6A56">
            <w:pPr>
              <w:pStyle w:val="Web"/>
              <w:spacing w:before="0" w:after="0"/>
              <w:ind w:left="-57" w:right="-57"/>
              <w:jc w:val="center"/>
              <w:rPr>
                <w:snapToGrid w:val="0"/>
                <w:color w:val="000000"/>
                <w:szCs w:val="24"/>
              </w:rPr>
            </w:pPr>
            <w:r w:rsidRPr="00636BBF">
              <w:rPr>
                <w:snapToGrid w:val="0"/>
                <w:color w:val="000000"/>
                <w:szCs w:val="24"/>
              </w:rPr>
              <w:t>Из бюджета МО</w:t>
            </w:r>
          </w:p>
        </w:tc>
      </w:tr>
      <w:tr w:rsidR="0032357E" w:rsidRPr="00636BBF" w:rsidTr="005A6A56">
        <w:tc>
          <w:tcPr>
            <w:tcW w:w="675" w:type="dxa"/>
          </w:tcPr>
          <w:p w:rsidR="0032357E" w:rsidRPr="00636BBF" w:rsidRDefault="0032357E" w:rsidP="0032357E">
            <w:pPr>
              <w:pStyle w:val="Web"/>
              <w:numPr>
                <w:ilvl w:val="0"/>
                <w:numId w:val="1"/>
              </w:numPr>
              <w:spacing w:before="0" w:after="0"/>
              <w:ind w:left="357" w:hanging="357"/>
              <w:jc w:val="center"/>
              <w:rPr>
                <w:snapToGrid w:val="0"/>
                <w:color w:val="000000"/>
                <w:szCs w:val="24"/>
              </w:rPr>
            </w:pPr>
          </w:p>
        </w:tc>
        <w:tc>
          <w:tcPr>
            <w:tcW w:w="5387" w:type="dxa"/>
          </w:tcPr>
          <w:p w:rsidR="0032357E" w:rsidRPr="00636BBF" w:rsidRDefault="0032357E" w:rsidP="005A6A56">
            <w:pPr>
              <w:pStyle w:val="Web"/>
              <w:spacing w:before="0" w:after="0"/>
              <w:jc w:val="both"/>
              <w:rPr>
                <w:snapToGrid w:val="0"/>
                <w:color w:val="000000"/>
                <w:szCs w:val="24"/>
              </w:rPr>
            </w:pPr>
            <w:r w:rsidRPr="00636BBF">
              <w:rPr>
                <w:szCs w:val="24"/>
              </w:rPr>
              <w:t xml:space="preserve">Предоставление субсидий местным бюджетам на реализацию </w:t>
            </w:r>
            <w:proofErr w:type="gramStart"/>
            <w:r w:rsidRPr="00636BBF">
              <w:rPr>
                <w:szCs w:val="24"/>
              </w:rPr>
              <w:t>проектов развития инфраструктуры поддержки предпринимательства</w:t>
            </w:r>
            <w:proofErr w:type="gramEnd"/>
          </w:p>
        </w:tc>
        <w:tc>
          <w:tcPr>
            <w:tcW w:w="1417" w:type="dxa"/>
          </w:tcPr>
          <w:p w:rsidR="0032357E" w:rsidRPr="00636BBF" w:rsidRDefault="0032357E" w:rsidP="005A6A56">
            <w:pPr>
              <w:pStyle w:val="Web"/>
              <w:spacing w:before="0" w:after="0"/>
              <w:ind w:left="-57" w:right="-57"/>
              <w:jc w:val="center"/>
              <w:rPr>
                <w:snapToGrid w:val="0"/>
                <w:color w:val="000000"/>
                <w:szCs w:val="24"/>
              </w:rPr>
            </w:pPr>
            <w:r w:rsidRPr="00636BBF">
              <w:rPr>
                <w:snapToGrid w:val="0"/>
                <w:color w:val="000000"/>
                <w:szCs w:val="24"/>
              </w:rPr>
              <w:t>170 850,0</w:t>
            </w:r>
          </w:p>
        </w:tc>
        <w:tc>
          <w:tcPr>
            <w:tcW w:w="1701" w:type="dxa"/>
          </w:tcPr>
          <w:p w:rsidR="0032357E" w:rsidRPr="00636BBF" w:rsidRDefault="0032357E" w:rsidP="005A6A56">
            <w:pPr>
              <w:pStyle w:val="Web"/>
              <w:spacing w:before="0" w:after="0"/>
              <w:ind w:left="-57" w:right="-57"/>
              <w:jc w:val="center"/>
              <w:rPr>
                <w:snapToGrid w:val="0"/>
                <w:color w:val="000000"/>
                <w:szCs w:val="24"/>
              </w:rPr>
            </w:pPr>
            <w:r w:rsidRPr="00636BBF">
              <w:rPr>
                <w:snapToGrid w:val="0"/>
                <w:color w:val="000000"/>
                <w:szCs w:val="24"/>
              </w:rPr>
              <w:t>170 000,0</w:t>
            </w:r>
          </w:p>
        </w:tc>
        <w:tc>
          <w:tcPr>
            <w:tcW w:w="993" w:type="dxa"/>
          </w:tcPr>
          <w:p w:rsidR="0032357E" w:rsidRPr="00636BBF" w:rsidRDefault="0032357E" w:rsidP="005A6A56">
            <w:pPr>
              <w:pStyle w:val="Web"/>
              <w:spacing w:before="0" w:after="0"/>
              <w:ind w:left="-57" w:right="-57"/>
              <w:jc w:val="center"/>
              <w:rPr>
                <w:snapToGrid w:val="0"/>
                <w:color w:val="000000"/>
                <w:szCs w:val="24"/>
              </w:rPr>
            </w:pPr>
            <w:r w:rsidRPr="00636BBF">
              <w:rPr>
                <w:snapToGrid w:val="0"/>
                <w:color w:val="000000"/>
                <w:szCs w:val="24"/>
              </w:rPr>
              <w:t>850,0</w:t>
            </w:r>
          </w:p>
        </w:tc>
      </w:tr>
      <w:tr w:rsidR="0032357E" w:rsidRPr="00636BBF" w:rsidTr="005A6A56">
        <w:tc>
          <w:tcPr>
            <w:tcW w:w="675" w:type="dxa"/>
          </w:tcPr>
          <w:p w:rsidR="0032357E" w:rsidRPr="00636BBF" w:rsidRDefault="0032357E" w:rsidP="0032357E">
            <w:pPr>
              <w:pStyle w:val="Web"/>
              <w:numPr>
                <w:ilvl w:val="0"/>
                <w:numId w:val="1"/>
              </w:numPr>
              <w:spacing w:before="0" w:after="0"/>
              <w:ind w:left="357" w:hanging="357"/>
              <w:jc w:val="center"/>
              <w:rPr>
                <w:snapToGrid w:val="0"/>
                <w:color w:val="000000"/>
                <w:szCs w:val="24"/>
              </w:rPr>
            </w:pPr>
          </w:p>
        </w:tc>
        <w:tc>
          <w:tcPr>
            <w:tcW w:w="5387" w:type="dxa"/>
          </w:tcPr>
          <w:p w:rsidR="0032357E" w:rsidRPr="00636BBF" w:rsidRDefault="0032357E" w:rsidP="005A6A56">
            <w:pPr>
              <w:pStyle w:val="Web"/>
              <w:spacing w:before="0" w:after="0"/>
              <w:rPr>
                <w:snapToGrid w:val="0"/>
                <w:color w:val="000000"/>
                <w:szCs w:val="24"/>
              </w:rPr>
            </w:pPr>
            <w:r w:rsidRPr="00636BBF">
              <w:rPr>
                <w:szCs w:val="24"/>
              </w:rPr>
              <w:t>Субсидирование части затрат по оплате лизинговых платежей по договорам лизинга</w:t>
            </w:r>
          </w:p>
        </w:tc>
        <w:tc>
          <w:tcPr>
            <w:tcW w:w="1417" w:type="dxa"/>
          </w:tcPr>
          <w:p w:rsidR="0032357E" w:rsidRPr="00636BBF" w:rsidRDefault="0032357E" w:rsidP="005A6A56">
            <w:pPr>
              <w:pStyle w:val="Web"/>
              <w:spacing w:before="0" w:after="0"/>
              <w:ind w:left="-57" w:right="-57"/>
              <w:rPr>
                <w:snapToGrid w:val="0"/>
                <w:color w:val="000000"/>
                <w:szCs w:val="24"/>
              </w:rPr>
            </w:pPr>
            <w:r w:rsidRPr="00636BBF">
              <w:rPr>
                <w:snapToGrid w:val="0"/>
                <w:color w:val="000000"/>
                <w:szCs w:val="24"/>
              </w:rPr>
              <w:t xml:space="preserve">  532 650,0</w:t>
            </w:r>
          </w:p>
        </w:tc>
        <w:tc>
          <w:tcPr>
            <w:tcW w:w="1701" w:type="dxa"/>
          </w:tcPr>
          <w:p w:rsidR="0032357E" w:rsidRPr="00636BBF" w:rsidRDefault="0032357E" w:rsidP="005A6A56">
            <w:pPr>
              <w:pStyle w:val="Web"/>
              <w:spacing w:before="0" w:after="0"/>
              <w:ind w:left="-57" w:right="-57"/>
              <w:rPr>
                <w:snapToGrid w:val="0"/>
                <w:color w:val="000000"/>
                <w:szCs w:val="24"/>
              </w:rPr>
            </w:pPr>
            <w:r w:rsidRPr="00636BBF">
              <w:rPr>
                <w:snapToGrid w:val="0"/>
                <w:color w:val="000000"/>
                <w:szCs w:val="24"/>
              </w:rPr>
              <w:t xml:space="preserve">  530 000,0</w:t>
            </w:r>
          </w:p>
        </w:tc>
        <w:tc>
          <w:tcPr>
            <w:tcW w:w="993" w:type="dxa"/>
          </w:tcPr>
          <w:p w:rsidR="0032357E" w:rsidRPr="00636BBF" w:rsidRDefault="0032357E" w:rsidP="005A6A56">
            <w:pPr>
              <w:pStyle w:val="Web"/>
              <w:spacing w:before="0" w:after="0"/>
              <w:ind w:left="-57" w:right="-57"/>
              <w:rPr>
                <w:snapToGrid w:val="0"/>
                <w:color w:val="000000"/>
                <w:szCs w:val="24"/>
              </w:rPr>
            </w:pPr>
            <w:r w:rsidRPr="00636BBF">
              <w:rPr>
                <w:snapToGrid w:val="0"/>
                <w:color w:val="000000"/>
                <w:szCs w:val="24"/>
              </w:rPr>
              <w:t>2650,0</w:t>
            </w:r>
          </w:p>
        </w:tc>
      </w:tr>
      <w:tr w:rsidR="0032357E" w:rsidRPr="00636BBF" w:rsidTr="005A6A56">
        <w:tc>
          <w:tcPr>
            <w:tcW w:w="675" w:type="dxa"/>
          </w:tcPr>
          <w:p w:rsidR="0032357E" w:rsidRPr="00636BBF" w:rsidRDefault="0032357E" w:rsidP="005A6A56">
            <w:pPr>
              <w:pStyle w:val="Web"/>
              <w:spacing w:before="0" w:after="0"/>
              <w:rPr>
                <w:snapToGrid w:val="0"/>
                <w:color w:val="000000"/>
                <w:szCs w:val="24"/>
              </w:rPr>
            </w:pPr>
            <w:r w:rsidRPr="00636BBF">
              <w:rPr>
                <w:snapToGrid w:val="0"/>
                <w:color w:val="000000"/>
                <w:szCs w:val="24"/>
              </w:rPr>
              <w:t>3.</w:t>
            </w:r>
          </w:p>
        </w:tc>
        <w:tc>
          <w:tcPr>
            <w:tcW w:w="5387" w:type="dxa"/>
          </w:tcPr>
          <w:p w:rsidR="0032357E" w:rsidRPr="00636BBF" w:rsidRDefault="0032357E" w:rsidP="005A6A56">
            <w:pPr>
              <w:pStyle w:val="Web"/>
              <w:spacing w:before="0" w:after="0"/>
              <w:rPr>
                <w:snapToGrid w:val="0"/>
                <w:color w:val="000000"/>
                <w:szCs w:val="24"/>
              </w:rPr>
            </w:pPr>
            <w:r w:rsidRPr="00636BBF">
              <w:rPr>
                <w:szCs w:val="24"/>
              </w:rPr>
              <w:t>Субсидирование части затрат, связанных с приобретением оборудования в целях создания, развития, модернизации производства товаров (работ, услуг)</w:t>
            </w:r>
          </w:p>
        </w:tc>
        <w:tc>
          <w:tcPr>
            <w:tcW w:w="1417" w:type="dxa"/>
          </w:tcPr>
          <w:p w:rsidR="0032357E" w:rsidRPr="00636BBF" w:rsidRDefault="0032357E" w:rsidP="005A6A56">
            <w:pPr>
              <w:pStyle w:val="Web"/>
              <w:spacing w:before="0" w:after="0"/>
              <w:ind w:left="-57" w:right="-57"/>
              <w:rPr>
                <w:snapToGrid w:val="0"/>
                <w:color w:val="000000"/>
                <w:szCs w:val="24"/>
              </w:rPr>
            </w:pPr>
            <w:r w:rsidRPr="00636BBF">
              <w:rPr>
                <w:snapToGrid w:val="0"/>
                <w:color w:val="000000"/>
                <w:szCs w:val="24"/>
              </w:rPr>
              <w:t>1005 000,0</w:t>
            </w:r>
          </w:p>
        </w:tc>
        <w:tc>
          <w:tcPr>
            <w:tcW w:w="1701" w:type="dxa"/>
          </w:tcPr>
          <w:p w:rsidR="0032357E" w:rsidRPr="00636BBF" w:rsidRDefault="0032357E" w:rsidP="005A6A56">
            <w:pPr>
              <w:pStyle w:val="Web"/>
              <w:spacing w:before="0" w:after="0"/>
              <w:ind w:left="-57" w:right="-57"/>
              <w:rPr>
                <w:snapToGrid w:val="0"/>
                <w:color w:val="000000"/>
                <w:szCs w:val="24"/>
              </w:rPr>
            </w:pPr>
            <w:r w:rsidRPr="00636BBF">
              <w:rPr>
                <w:snapToGrid w:val="0"/>
                <w:color w:val="000000"/>
                <w:szCs w:val="24"/>
              </w:rPr>
              <w:t>1000 000,0</w:t>
            </w:r>
          </w:p>
        </w:tc>
        <w:tc>
          <w:tcPr>
            <w:tcW w:w="993" w:type="dxa"/>
          </w:tcPr>
          <w:p w:rsidR="0032357E" w:rsidRPr="00636BBF" w:rsidRDefault="0032357E" w:rsidP="005A6A56">
            <w:pPr>
              <w:pStyle w:val="Web"/>
              <w:spacing w:before="0" w:after="0"/>
              <w:ind w:left="-57" w:right="-57"/>
              <w:rPr>
                <w:snapToGrid w:val="0"/>
                <w:color w:val="000000"/>
                <w:szCs w:val="24"/>
              </w:rPr>
            </w:pPr>
            <w:r w:rsidRPr="00636BBF">
              <w:rPr>
                <w:snapToGrid w:val="0"/>
                <w:color w:val="000000"/>
                <w:szCs w:val="24"/>
              </w:rPr>
              <w:t>5000,0</w:t>
            </w:r>
          </w:p>
        </w:tc>
      </w:tr>
      <w:tr w:rsidR="0032357E" w:rsidRPr="00636BBF" w:rsidTr="005A6A56">
        <w:tc>
          <w:tcPr>
            <w:tcW w:w="675" w:type="dxa"/>
          </w:tcPr>
          <w:p w:rsidR="0032357E" w:rsidRPr="00636BBF" w:rsidRDefault="0032357E" w:rsidP="005A6A56">
            <w:pPr>
              <w:pStyle w:val="Web"/>
              <w:spacing w:before="0" w:after="0"/>
              <w:ind w:left="360"/>
              <w:jc w:val="center"/>
              <w:rPr>
                <w:snapToGrid w:val="0"/>
                <w:color w:val="000000"/>
                <w:szCs w:val="24"/>
              </w:rPr>
            </w:pPr>
          </w:p>
        </w:tc>
        <w:tc>
          <w:tcPr>
            <w:tcW w:w="5387" w:type="dxa"/>
          </w:tcPr>
          <w:p w:rsidR="0032357E" w:rsidRPr="00636BBF" w:rsidRDefault="0032357E" w:rsidP="005A6A56">
            <w:pPr>
              <w:pStyle w:val="Web"/>
              <w:spacing w:before="0" w:after="0"/>
              <w:rPr>
                <w:snapToGrid w:val="0"/>
                <w:color w:val="000000"/>
                <w:szCs w:val="24"/>
              </w:rPr>
            </w:pPr>
            <w:r w:rsidRPr="00636BBF">
              <w:rPr>
                <w:snapToGrid w:val="0"/>
                <w:color w:val="000000"/>
                <w:szCs w:val="24"/>
              </w:rPr>
              <w:t>ИТОГО</w:t>
            </w:r>
          </w:p>
        </w:tc>
        <w:tc>
          <w:tcPr>
            <w:tcW w:w="1417" w:type="dxa"/>
          </w:tcPr>
          <w:p w:rsidR="0032357E" w:rsidRPr="00636BBF" w:rsidRDefault="0032357E" w:rsidP="005A6A56">
            <w:pPr>
              <w:pStyle w:val="Web"/>
              <w:spacing w:before="0" w:after="0"/>
              <w:ind w:left="-57" w:right="-57"/>
              <w:rPr>
                <w:snapToGrid w:val="0"/>
                <w:color w:val="000000"/>
                <w:szCs w:val="24"/>
              </w:rPr>
            </w:pPr>
            <w:r w:rsidRPr="00636BBF">
              <w:rPr>
                <w:snapToGrid w:val="0"/>
                <w:color w:val="000000"/>
                <w:szCs w:val="24"/>
              </w:rPr>
              <w:t>1708500,0</w:t>
            </w:r>
          </w:p>
        </w:tc>
        <w:tc>
          <w:tcPr>
            <w:tcW w:w="1701" w:type="dxa"/>
          </w:tcPr>
          <w:p w:rsidR="0032357E" w:rsidRPr="00636BBF" w:rsidRDefault="0032357E" w:rsidP="005A6A56">
            <w:pPr>
              <w:pStyle w:val="Web"/>
              <w:spacing w:before="0" w:after="0"/>
              <w:ind w:right="-57"/>
              <w:rPr>
                <w:snapToGrid w:val="0"/>
                <w:color w:val="000000"/>
                <w:szCs w:val="24"/>
              </w:rPr>
            </w:pPr>
            <w:r w:rsidRPr="00636BBF">
              <w:rPr>
                <w:snapToGrid w:val="0"/>
                <w:color w:val="000000"/>
                <w:szCs w:val="24"/>
              </w:rPr>
              <w:t>1700 000,0</w:t>
            </w:r>
          </w:p>
        </w:tc>
        <w:tc>
          <w:tcPr>
            <w:tcW w:w="993" w:type="dxa"/>
          </w:tcPr>
          <w:p w:rsidR="0032357E" w:rsidRPr="00636BBF" w:rsidRDefault="0032357E" w:rsidP="005A6A56">
            <w:pPr>
              <w:pStyle w:val="Web"/>
              <w:spacing w:before="0" w:after="0"/>
              <w:ind w:right="-57"/>
              <w:rPr>
                <w:snapToGrid w:val="0"/>
                <w:color w:val="000000"/>
                <w:szCs w:val="24"/>
              </w:rPr>
            </w:pPr>
            <w:r w:rsidRPr="00636BBF">
              <w:rPr>
                <w:snapToGrid w:val="0"/>
                <w:color w:val="000000"/>
                <w:szCs w:val="24"/>
              </w:rPr>
              <w:t>8500,0</w:t>
            </w:r>
          </w:p>
        </w:tc>
      </w:tr>
    </w:tbl>
    <w:p w:rsidR="0032357E" w:rsidRPr="00636BBF" w:rsidRDefault="0032357E" w:rsidP="0032357E">
      <w:pPr>
        <w:snapToGrid w:val="0"/>
        <w:ind w:firstLine="708"/>
      </w:pPr>
      <w:r w:rsidRPr="00636BBF">
        <w:t>26 мая 2015года  в Администрации  МО «Игринский район»  проведено торжественное мероприятие, посвященное Российскому дню предпринимательства.</w:t>
      </w:r>
    </w:p>
    <w:p w:rsidR="0032357E" w:rsidRPr="00636BBF" w:rsidRDefault="0032357E" w:rsidP="0032357E">
      <w:pPr>
        <w:ind w:rightChars="-1" w:right="-2" w:firstLine="851"/>
        <w:rPr>
          <w:bCs/>
        </w:rPr>
      </w:pPr>
      <w:proofErr w:type="gramStart"/>
      <w:r w:rsidRPr="00636BBF">
        <w:t>В  Торжественном приеме   приняли участие  заместитель министра экономики Удмуртской Республики В.Н. Разумков, Уполномоченный по вопросам защиты прав предпринимателей в Удмуртской Республике А.А. Прасолов, руководитель Центра поддержки предпринимательства Удмуртской Республики Ю.С. Бодаш,  заместитель Главы администрации МО «Игринский район» Крмакова С.Г., члены Совета ОО «Союз предпринимателей  Игринского района», индивидуальные предприниматели, руководители малых предприятий. 10 субъектов  малого предпринимательства награждены</w:t>
      </w:r>
      <w:proofErr w:type="gramEnd"/>
      <w:r w:rsidRPr="00636BBF">
        <w:t xml:space="preserve"> дипломами, Почетными грамотами Игринского района, благодарственными </w:t>
      </w:r>
      <w:r w:rsidRPr="00636BBF">
        <w:lastRenderedPageBreak/>
        <w:t xml:space="preserve">письмами Администрации МО «Игринский район». Индивидуальный предприниматель Степанова Т.А. награждена Почетной грамотой Удмуртской Республики. </w:t>
      </w:r>
    </w:p>
    <w:p w:rsidR="0032357E" w:rsidRPr="00636BBF" w:rsidRDefault="0032357E" w:rsidP="0032357E">
      <w:pPr>
        <w:pStyle w:val="Web"/>
        <w:spacing w:before="0" w:after="0"/>
        <w:jc w:val="both"/>
        <w:rPr>
          <w:szCs w:val="24"/>
        </w:rPr>
      </w:pPr>
      <w:r w:rsidRPr="00636BBF">
        <w:rPr>
          <w:b/>
          <w:color w:val="000000"/>
          <w:szCs w:val="24"/>
        </w:rPr>
        <w:tab/>
      </w:r>
      <w:r w:rsidRPr="00636BBF">
        <w:rPr>
          <w:color w:val="000000"/>
          <w:szCs w:val="24"/>
        </w:rPr>
        <w:t xml:space="preserve">  </w:t>
      </w:r>
      <w:r w:rsidRPr="00636BBF">
        <w:rPr>
          <w:szCs w:val="24"/>
        </w:rPr>
        <w:t xml:space="preserve">На 01.01.2016года  11 субъектам малого и среднего предпринимательства   оказана имущественная поддержка в виде передачи в аренду   муниципального имущества,   находящегося   в муниципальной собственности, общей площадью 930,64 кв. м. </w:t>
      </w:r>
    </w:p>
    <w:p w:rsidR="0032357E" w:rsidRPr="00636BBF" w:rsidRDefault="0032357E" w:rsidP="0032357E">
      <w:pPr>
        <w:pStyle w:val="Web"/>
        <w:spacing w:before="0" w:after="0"/>
        <w:jc w:val="both"/>
        <w:rPr>
          <w:szCs w:val="24"/>
        </w:rPr>
      </w:pPr>
      <w:r w:rsidRPr="00636BBF">
        <w:rPr>
          <w:szCs w:val="24"/>
        </w:rPr>
        <w:tab/>
        <w:t>В 2015году из бюджета Удмуртской Республики получена  субсидия в сумме 1700 тыс. руб. на реализацию мероприятий муниципальной подпрограммы «Содействие развитию малого и среднего предпринимательства Игринского района» на 2015-2020годы. В 2015года субсидия использована на следующие мероприятия.</w:t>
      </w:r>
    </w:p>
    <w:p w:rsidR="0032357E" w:rsidRPr="00636BBF" w:rsidRDefault="0032357E" w:rsidP="0032357E">
      <w:pPr>
        <w:pStyle w:val="a4"/>
        <w:ind w:right="-2" w:firstLine="360"/>
        <w:jc w:val="both"/>
        <w:rPr>
          <w:rFonts w:ascii="Times New Roman" w:hAnsi="Times New Roman"/>
          <w:sz w:val="24"/>
          <w:szCs w:val="24"/>
        </w:rPr>
      </w:pPr>
      <w:r w:rsidRPr="00636BBF">
        <w:rPr>
          <w:rFonts w:ascii="Times New Roman" w:hAnsi="Times New Roman"/>
          <w:sz w:val="24"/>
          <w:szCs w:val="24"/>
        </w:rPr>
        <w:t xml:space="preserve">   1.Предоставлена субсидия  на реализацию </w:t>
      </w:r>
      <w:proofErr w:type="gramStart"/>
      <w:r w:rsidRPr="00636BBF">
        <w:rPr>
          <w:rFonts w:ascii="Times New Roman" w:hAnsi="Times New Roman"/>
          <w:sz w:val="24"/>
          <w:szCs w:val="24"/>
        </w:rPr>
        <w:t>проектов развития инфраструктуры поддержки малого предпринимательства</w:t>
      </w:r>
      <w:proofErr w:type="gramEnd"/>
      <w:r w:rsidRPr="00636BBF">
        <w:rPr>
          <w:rFonts w:ascii="Times New Roman" w:hAnsi="Times New Roman"/>
          <w:sz w:val="24"/>
          <w:szCs w:val="24"/>
        </w:rPr>
        <w:t xml:space="preserve">. </w:t>
      </w:r>
      <w:r w:rsidRPr="00636BBF">
        <w:rPr>
          <w:rFonts w:ascii="Times New Roman" w:eastAsia="Times New Roman" w:hAnsi="Times New Roman"/>
          <w:snapToGrid w:val="0"/>
          <w:color w:val="000000"/>
          <w:sz w:val="24"/>
          <w:szCs w:val="24"/>
        </w:rPr>
        <w:t xml:space="preserve">Средства в сумме 170850 рублей, в т.ч.170 000 руб. средства бюджета УР и 850 руб. средства бюджета МО «Игринский район», перечислены в виде имущественного взноса ЦМФПМП Игринского района  для реализации мероприятий на приобретение </w:t>
      </w:r>
      <w:r w:rsidRPr="00636BBF">
        <w:rPr>
          <w:rFonts w:ascii="Times New Roman" w:eastAsia="Times New Roman" w:hAnsi="Times New Roman"/>
          <w:i/>
          <w:snapToGrid w:val="0"/>
          <w:color w:val="000000"/>
          <w:sz w:val="24"/>
          <w:szCs w:val="24"/>
        </w:rPr>
        <w:t xml:space="preserve"> </w:t>
      </w:r>
      <w:r w:rsidRPr="00636BBF">
        <w:rPr>
          <w:rFonts w:ascii="Times New Roman" w:hAnsi="Times New Roman"/>
          <w:snapToGrid w:val="0"/>
          <w:color w:val="000000"/>
          <w:sz w:val="24"/>
          <w:szCs w:val="24"/>
        </w:rPr>
        <w:t xml:space="preserve">фондом   оргтехники, на </w:t>
      </w:r>
      <w:r w:rsidRPr="00636BBF">
        <w:rPr>
          <w:snapToGrid w:val="0"/>
          <w:color w:val="000000"/>
          <w:sz w:val="24"/>
          <w:szCs w:val="24"/>
        </w:rPr>
        <w:t xml:space="preserve"> </w:t>
      </w:r>
      <w:r w:rsidRPr="00636BBF">
        <w:rPr>
          <w:rFonts w:ascii="Times New Roman" w:hAnsi="Times New Roman"/>
          <w:snapToGrid w:val="0"/>
          <w:color w:val="000000"/>
          <w:sz w:val="24"/>
          <w:szCs w:val="24"/>
        </w:rPr>
        <w:t>проведение рейтинговой оценки фонда, на повышение  квалификации  сотрудников  фонда.</w:t>
      </w:r>
    </w:p>
    <w:p w:rsidR="0032357E" w:rsidRPr="00636BBF" w:rsidRDefault="0032357E" w:rsidP="0032357E">
      <w:pPr>
        <w:pStyle w:val="Web"/>
        <w:spacing w:before="0" w:after="0"/>
        <w:ind w:firstLine="567"/>
        <w:jc w:val="both"/>
        <w:rPr>
          <w:szCs w:val="24"/>
        </w:rPr>
      </w:pPr>
      <w:r w:rsidRPr="00636BBF">
        <w:rPr>
          <w:snapToGrid w:val="0"/>
          <w:color w:val="000000"/>
          <w:szCs w:val="24"/>
        </w:rPr>
        <w:t xml:space="preserve">2. </w:t>
      </w:r>
      <w:r w:rsidRPr="00636BBF">
        <w:rPr>
          <w:szCs w:val="24"/>
        </w:rPr>
        <w:t>Субсидирование части затрат по оплате лизинговых платежей по договорам лизинга.</w:t>
      </w:r>
    </w:p>
    <w:p w:rsidR="0032357E" w:rsidRPr="00636BBF" w:rsidRDefault="0032357E" w:rsidP="0032357E">
      <w:pPr>
        <w:pStyle w:val="Web"/>
        <w:spacing w:before="0" w:after="0"/>
        <w:ind w:firstLine="567"/>
        <w:jc w:val="both"/>
        <w:rPr>
          <w:snapToGrid w:val="0"/>
          <w:color w:val="000000"/>
          <w:szCs w:val="24"/>
        </w:rPr>
      </w:pPr>
      <w:r w:rsidRPr="00636BBF">
        <w:rPr>
          <w:szCs w:val="24"/>
        </w:rPr>
        <w:t xml:space="preserve"> </w:t>
      </w:r>
      <w:r w:rsidRPr="00636BBF">
        <w:rPr>
          <w:snapToGrid w:val="0"/>
          <w:color w:val="000000"/>
          <w:szCs w:val="24"/>
        </w:rPr>
        <w:t xml:space="preserve">Администрацией МО «Игринский район» проведен конкурс  на получение субсидии </w:t>
      </w:r>
      <w:r>
        <w:rPr>
          <w:snapToGrid w:val="0"/>
          <w:color w:val="000000"/>
          <w:szCs w:val="24"/>
        </w:rPr>
        <w:t xml:space="preserve">на оплату </w:t>
      </w:r>
      <w:r w:rsidRPr="00636BBF">
        <w:rPr>
          <w:snapToGrid w:val="0"/>
          <w:color w:val="000000"/>
          <w:szCs w:val="24"/>
        </w:rPr>
        <w:t xml:space="preserve">части затрат </w:t>
      </w:r>
      <w:r>
        <w:rPr>
          <w:snapToGrid w:val="0"/>
          <w:color w:val="000000"/>
          <w:szCs w:val="24"/>
        </w:rPr>
        <w:t>первого лизингового платежа</w:t>
      </w:r>
      <w:r w:rsidRPr="00636BBF">
        <w:rPr>
          <w:snapToGrid w:val="0"/>
          <w:color w:val="000000"/>
          <w:szCs w:val="24"/>
        </w:rPr>
        <w:t xml:space="preserve">. Конкурс проводился в соответствии с </w:t>
      </w:r>
      <w:r>
        <w:rPr>
          <w:snapToGrid w:val="0"/>
          <w:color w:val="000000"/>
          <w:szCs w:val="24"/>
        </w:rPr>
        <w:t xml:space="preserve">утвержденным </w:t>
      </w:r>
      <w:r w:rsidRPr="00636BBF">
        <w:rPr>
          <w:snapToGrid w:val="0"/>
          <w:color w:val="000000"/>
          <w:szCs w:val="24"/>
        </w:rPr>
        <w:t>Положением</w:t>
      </w:r>
      <w:r>
        <w:rPr>
          <w:snapToGrid w:val="0"/>
          <w:color w:val="000000"/>
          <w:szCs w:val="24"/>
        </w:rPr>
        <w:t>.</w:t>
      </w:r>
      <w:r w:rsidRPr="00636BBF">
        <w:rPr>
          <w:snapToGrid w:val="0"/>
          <w:color w:val="000000"/>
          <w:szCs w:val="24"/>
        </w:rPr>
        <w:t xml:space="preserve"> Субсидии на возмещение  части затрат на  уплату  первого лизингового платежа   на сумму 532650 руб., в том числе из бюджета Игринского района 2650 руб., выданы: ООО «Рассвет».  ООО «Прогресс», ООО «Мужбер», ОАО «Игринский мясокомбинат»,  ООО «Зуринский Агрокомплекс».</w:t>
      </w:r>
    </w:p>
    <w:p w:rsidR="0032357E" w:rsidRPr="00636BBF" w:rsidRDefault="0032357E" w:rsidP="0032357E">
      <w:pPr>
        <w:pStyle w:val="Web"/>
        <w:spacing w:before="0" w:after="0"/>
        <w:jc w:val="both"/>
        <w:rPr>
          <w:szCs w:val="24"/>
        </w:rPr>
      </w:pPr>
      <w:r w:rsidRPr="00636BBF">
        <w:rPr>
          <w:snapToGrid w:val="0"/>
          <w:color w:val="000000"/>
          <w:szCs w:val="24"/>
        </w:rPr>
        <w:t xml:space="preserve">      3.</w:t>
      </w:r>
      <w:r w:rsidRPr="00636BBF">
        <w:rPr>
          <w:i/>
          <w:snapToGrid w:val="0"/>
          <w:color w:val="000000"/>
          <w:szCs w:val="24"/>
        </w:rPr>
        <w:t xml:space="preserve"> </w:t>
      </w:r>
      <w:r w:rsidRPr="00636BBF">
        <w:rPr>
          <w:szCs w:val="24"/>
        </w:rPr>
        <w:t>Субсидирование части затрат, связанных с приобретением оборудования в целях создания, развития, модернизации производства товаров (работ, услуг).</w:t>
      </w:r>
    </w:p>
    <w:p w:rsidR="0032357E" w:rsidRPr="00636BBF" w:rsidRDefault="0032357E" w:rsidP="0032357E">
      <w:pPr>
        <w:pStyle w:val="Web"/>
        <w:spacing w:before="0" w:after="0"/>
        <w:jc w:val="both"/>
        <w:rPr>
          <w:snapToGrid w:val="0"/>
          <w:color w:val="000000"/>
          <w:szCs w:val="24"/>
        </w:rPr>
      </w:pPr>
      <w:r w:rsidRPr="00636BBF">
        <w:rPr>
          <w:snapToGrid w:val="0"/>
          <w:color w:val="000000"/>
          <w:szCs w:val="24"/>
        </w:rPr>
        <w:t xml:space="preserve">Администрацией МО «Игринский район»  для реализации мероприятия №3 проведены 3 конкурса по распределению субсидий. </w:t>
      </w:r>
      <w:proofErr w:type="gramStart"/>
      <w:r w:rsidRPr="00636BBF">
        <w:rPr>
          <w:snapToGrid w:val="0"/>
          <w:color w:val="000000"/>
          <w:szCs w:val="24"/>
        </w:rPr>
        <w:t>В результате выделено 10 субъектам малого предпринимательства субсидий на сумму 1005 000 руб. в том числе из бюджета УР-1000 000руб., из бюджета Игринского района 5000 руб.:</w:t>
      </w:r>
      <w:r>
        <w:rPr>
          <w:snapToGrid w:val="0"/>
          <w:color w:val="000000"/>
          <w:szCs w:val="24"/>
        </w:rPr>
        <w:t xml:space="preserve"> </w:t>
      </w:r>
      <w:r w:rsidRPr="00636BBF">
        <w:rPr>
          <w:snapToGrid w:val="0"/>
          <w:color w:val="000000"/>
          <w:szCs w:val="24"/>
        </w:rPr>
        <w:t xml:space="preserve"> ООО «РАССВЕТ», ООО «Прогресс», ООО «Мужбер», Игринскому потребительскому обществу №2,  ООО «Темп», индивидуальному предпринимателю Т.А. Степановой, индивидуальному предпринимателю А.В. </w:t>
      </w:r>
      <w:proofErr w:type="spellStart"/>
      <w:r w:rsidRPr="00636BBF">
        <w:rPr>
          <w:snapToGrid w:val="0"/>
          <w:color w:val="000000"/>
          <w:szCs w:val="24"/>
        </w:rPr>
        <w:t>Килину</w:t>
      </w:r>
      <w:proofErr w:type="spellEnd"/>
      <w:r w:rsidRPr="00636BBF">
        <w:rPr>
          <w:snapToGrid w:val="0"/>
          <w:color w:val="000000"/>
          <w:szCs w:val="24"/>
        </w:rPr>
        <w:t xml:space="preserve">,  ООО «Игринское </w:t>
      </w:r>
      <w:proofErr w:type="spellStart"/>
      <w:r w:rsidRPr="00636BBF">
        <w:rPr>
          <w:snapToGrid w:val="0"/>
          <w:color w:val="000000"/>
          <w:szCs w:val="24"/>
        </w:rPr>
        <w:t>ремпредприятие</w:t>
      </w:r>
      <w:proofErr w:type="spellEnd"/>
      <w:r w:rsidRPr="00636BBF">
        <w:rPr>
          <w:snapToGrid w:val="0"/>
          <w:color w:val="000000"/>
          <w:szCs w:val="24"/>
        </w:rPr>
        <w:t>», ООО «ХКП «Ческыт-Нянь»,  ООО «</w:t>
      </w:r>
      <w:proofErr w:type="spellStart"/>
      <w:r w:rsidRPr="00636BBF">
        <w:rPr>
          <w:snapToGrid w:val="0"/>
          <w:color w:val="000000"/>
          <w:szCs w:val="24"/>
        </w:rPr>
        <w:t>Теплосервис</w:t>
      </w:r>
      <w:proofErr w:type="spellEnd"/>
      <w:r w:rsidRPr="00636BBF">
        <w:rPr>
          <w:snapToGrid w:val="0"/>
          <w:color w:val="000000"/>
          <w:szCs w:val="24"/>
        </w:rPr>
        <w:t>».</w:t>
      </w:r>
      <w:proofErr w:type="gramEnd"/>
    </w:p>
    <w:p w:rsidR="0032357E" w:rsidRPr="00636BBF" w:rsidRDefault="0032357E" w:rsidP="0032357E">
      <w:pPr>
        <w:pStyle w:val="Web"/>
        <w:spacing w:before="0" w:after="0"/>
        <w:ind w:firstLine="708"/>
        <w:jc w:val="both"/>
        <w:rPr>
          <w:snapToGrid w:val="0"/>
          <w:color w:val="000000"/>
          <w:szCs w:val="24"/>
        </w:rPr>
      </w:pPr>
      <w:r w:rsidRPr="00636BBF">
        <w:rPr>
          <w:snapToGrid w:val="0"/>
          <w:color w:val="000000"/>
          <w:szCs w:val="24"/>
        </w:rPr>
        <w:t>В апреле 2015года в Администрации Игринского района проведено совещание с субъектами малого и среднего предпринимательства по вопросам земельного  законодательства, пенсионного законодательства, налогового законодательства, о «неформальной занятости» населения.</w:t>
      </w:r>
    </w:p>
    <w:p w:rsidR="0032357E" w:rsidRPr="00636BBF" w:rsidRDefault="0032357E" w:rsidP="0032357E">
      <w:pPr>
        <w:pStyle w:val="Web"/>
        <w:spacing w:before="0" w:after="0"/>
        <w:ind w:firstLine="708"/>
        <w:jc w:val="both"/>
        <w:rPr>
          <w:snapToGrid w:val="0"/>
          <w:color w:val="000000"/>
          <w:szCs w:val="24"/>
        </w:rPr>
      </w:pPr>
      <w:r w:rsidRPr="00636BBF">
        <w:rPr>
          <w:snapToGrid w:val="0"/>
          <w:color w:val="000000"/>
          <w:szCs w:val="24"/>
        </w:rPr>
        <w:t xml:space="preserve">В апреле 2015года проведен круглый стол по проблемам предпринимателей, занимающихся заготовкой древесины </w:t>
      </w:r>
      <w:r w:rsidRPr="00636BBF">
        <w:rPr>
          <w:szCs w:val="24"/>
        </w:rPr>
        <w:t xml:space="preserve"> с участием заместителя Главы Администрации МО «Игринский район» С.Г. Крмаковой, представителя ГКУ «Игринское лесничество»</w:t>
      </w:r>
      <w:r>
        <w:rPr>
          <w:szCs w:val="24"/>
        </w:rPr>
        <w:t>.</w:t>
      </w:r>
      <w:r w:rsidRPr="00636BBF">
        <w:rPr>
          <w:szCs w:val="24"/>
        </w:rPr>
        <w:t xml:space="preserve"> От предпринимателей на встрече присутствовал  ИП </w:t>
      </w:r>
      <w:proofErr w:type="spellStart"/>
      <w:r w:rsidRPr="00636BBF">
        <w:rPr>
          <w:szCs w:val="24"/>
        </w:rPr>
        <w:t>Рожкин</w:t>
      </w:r>
      <w:proofErr w:type="spellEnd"/>
      <w:r w:rsidRPr="00636BBF">
        <w:rPr>
          <w:szCs w:val="24"/>
        </w:rPr>
        <w:t xml:space="preserve"> А.С., Шатунов А.В.</w:t>
      </w:r>
    </w:p>
    <w:p w:rsidR="0032357E" w:rsidRPr="00636BBF" w:rsidRDefault="0032357E" w:rsidP="0032357E">
      <w:pPr>
        <w:pStyle w:val="Web"/>
        <w:spacing w:before="0" w:after="0"/>
        <w:ind w:firstLine="708"/>
        <w:jc w:val="both"/>
        <w:rPr>
          <w:snapToGrid w:val="0"/>
          <w:color w:val="000000"/>
          <w:szCs w:val="24"/>
        </w:rPr>
      </w:pPr>
      <w:r w:rsidRPr="00636BBF">
        <w:rPr>
          <w:snapToGrid w:val="0"/>
          <w:color w:val="000000"/>
          <w:szCs w:val="24"/>
        </w:rPr>
        <w:t xml:space="preserve">На совещаниях при Главе  Администрации Перевощикове П.И. в апреле, июле 2015года поднимались вопросы осуществления индивидуальными предпринимателями  регулярных перевозок автомобильным пассажирским транспортом на территории Игринского района (д. Лозо-Люк, д. Сеп, с. Зура, п. Игра). По итогам совещания организованы  регулярные перевозки пассажиров в д. </w:t>
      </w:r>
      <w:r>
        <w:rPr>
          <w:snapToGrid w:val="0"/>
          <w:color w:val="000000"/>
          <w:szCs w:val="24"/>
        </w:rPr>
        <w:t>Л</w:t>
      </w:r>
      <w:r w:rsidRPr="00636BBF">
        <w:rPr>
          <w:snapToGrid w:val="0"/>
          <w:color w:val="000000"/>
          <w:szCs w:val="24"/>
        </w:rPr>
        <w:t>оз</w:t>
      </w:r>
      <w:r>
        <w:rPr>
          <w:snapToGrid w:val="0"/>
          <w:color w:val="000000"/>
          <w:szCs w:val="24"/>
        </w:rPr>
        <w:t>о</w:t>
      </w:r>
      <w:r w:rsidRPr="00636BBF">
        <w:rPr>
          <w:snapToGrid w:val="0"/>
          <w:color w:val="000000"/>
          <w:szCs w:val="24"/>
        </w:rPr>
        <w:t xml:space="preserve">-Люк, д. Сеп, с. Зура индивидуальными предпринимателями.  </w:t>
      </w:r>
    </w:p>
    <w:p w:rsidR="0032357E" w:rsidRPr="00636BBF" w:rsidRDefault="0032357E" w:rsidP="0032357E">
      <w:pPr>
        <w:snapToGrid w:val="0"/>
        <w:ind w:firstLine="708"/>
        <w:rPr>
          <w:b/>
        </w:rPr>
      </w:pPr>
      <w:r w:rsidRPr="00636BBF">
        <w:rPr>
          <w:snapToGrid w:val="0"/>
          <w:color w:val="000000"/>
        </w:rPr>
        <w:t>По итогам 2015года проведен районный конкурс «Лучший предприниматель Игринского района 2015года.</w:t>
      </w:r>
      <w:r w:rsidRPr="00636BBF">
        <w:t xml:space="preserve"> </w:t>
      </w:r>
      <w:r w:rsidRPr="00636BBF">
        <w:rPr>
          <w:b/>
        </w:rPr>
        <w:t xml:space="preserve"> </w:t>
      </w:r>
      <w:r w:rsidRPr="00636BBF">
        <w:t>В конкурсе приняли участие 12 субъектов малого и среднего бизнеса Игринского района.</w:t>
      </w:r>
    </w:p>
    <w:p w:rsidR="0032357E" w:rsidRPr="00636BBF" w:rsidRDefault="0032357E" w:rsidP="0032357E">
      <w:pPr>
        <w:snapToGrid w:val="0"/>
        <w:ind w:firstLine="708"/>
      </w:pPr>
      <w:r w:rsidRPr="00636BBF">
        <w:lastRenderedPageBreak/>
        <w:t xml:space="preserve"> За вклад в социально-экономическое развитие Игринского района определены победители  конкурса. </w:t>
      </w:r>
      <w:proofErr w:type="gramStart"/>
      <w:r w:rsidRPr="00636BBF">
        <w:t xml:space="preserve">В номинации «Лучший семейный бизнес»- коллектив ИП </w:t>
      </w:r>
      <w:proofErr w:type="spellStart"/>
      <w:r w:rsidRPr="00636BBF">
        <w:t>Блиновой</w:t>
      </w:r>
      <w:proofErr w:type="spellEnd"/>
      <w:r w:rsidRPr="00636BBF">
        <w:t xml:space="preserve">  Т.П. В номинации «Ветеран бизнеса»- коллектив ИП Степановой  Т. А.  В номинации «Лучшая женщина – предприниматель»- коллектив ИП    Котомцевой   Л.Е.  В номинации «Лучший предприниматель года в сфере производства»- коллектив  ООО «Ческыт-Нянь» руководитель Лалаян К.К.  В номинации «Лучший предприниматель года в сфере общественного питания»- коллектив ИП  Игнатьевой С.А.  В номинации</w:t>
      </w:r>
      <w:proofErr w:type="gramEnd"/>
      <w:r w:rsidRPr="00636BBF">
        <w:t xml:space="preserve"> «Лучший инвестор»- коллектив  ООО «Отдых» директор </w:t>
      </w:r>
      <w:proofErr w:type="spellStart"/>
      <w:r w:rsidRPr="00636BBF">
        <w:t>Кардапольцев</w:t>
      </w:r>
      <w:proofErr w:type="spellEnd"/>
      <w:r w:rsidRPr="00636BBF">
        <w:t xml:space="preserve"> Н.В. В номинации «Лучший социальный предприниматель года»- коллектив ИП Русских Е.Б. В номинации «Лучший предприниматель  в сфере производства, переработки сельскохозяйственной продукции и продуктов питания»: коллектив ИП Лекомцев Д. П.  В Номинации «Лучший предприниматель в сфере услуг</w:t>
      </w:r>
      <w:proofErr w:type="gramStart"/>
      <w:r w:rsidRPr="00636BBF">
        <w:t>»(</w:t>
      </w:r>
      <w:proofErr w:type="gramEnd"/>
      <w:r w:rsidRPr="00636BBF">
        <w:t xml:space="preserve">Бухгалтерский учет)- коллектив ООО «Бухгалтерский центр «Содействие», руководитель Михеев А.С.  В  номинации «Лучший благотворитель года»- коллектив ООО «Играмолоко», директор Тронина Г.В., коллектив ОАО «Комета», генеральный  директор Каштанов В. В.  В номинации «Лучший молодой предприниматель»: коллектив ИП  </w:t>
      </w:r>
      <w:proofErr w:type="spellStart"/>
      <w:r w:rsidRPr="00636BBF">
        <w:t>Арояна</w:t>
      </w:r>
      <w:proofErr w:type="spellEnd"/>
      <w:r w:rsidRPr="00636BBF">
        <w:t xml:space="preserve"> Г.Э. Дипломы и денежные призы вручены победителям конкурса на мероприятии «Бал предпринимателей» с участием представителей субъектов малого  бизнеса  Балезинского, Глазовского, Юкаменского, Дебесского районов.</w:t>
      </w:r>
    </w:p>
    <w:p w:rsidR="0032357E" w:rsidRPr="00636BBF" w:rsidRDefault="0032357E" w:rsidP="0032357E">
      <w:pPr>
        <w:pStyle w:val="a3"/>
        <w:snapToGrid w:val="0"/>
        <w:spacing w:before="0" w:after="0"/>
        <w:rPr>
          <w:snapToGrid w:val="0"/>
          <w:color w:val="000000"/>
        </w:rPr>
      </w:pPr>
      <w:r w:rsidRPr="00636BBF">
        <w:t xml:space="preserve">  </w:t>
      </w:r>
      <w:r w:rsidRPr="00636BBF">
        <w:tab/>
      </w:r>
      <w:proofErr w:type="gramStart"/>
      <w:r w:rsidRPr="00636BBF">
        <w:rPr>
          <w:snapToGrid w:val="0"/>
          <w:color w:val="000000"/>
        </w:rPr>
        <w:t>В  соответствии с мероприятиями муниципальной подпрограммы подготовлен порядок п</w:t>
      </w:r>
      <w:r w:rsidRPr="00636BBF">
        <w:t>роцедуры оценки регулирующего воздействия нормативных муниципальных актов,  включающий  в себя анализ проблем и целей муниципального регулирования, выявление и оценку альтернативных вариантов решения проблем, а также определение связанных с ними выгод и издержек субъектов предпринимательской и инвестиционной деятельности, подвергающихся регулирующему воздействию, для выбора наиболее эффективного варианта регулятивного воздействия.</w:t>
      </w:r>
      <w:proofErr w:type="gramEnd"/>
    </w:p>
    <w:p w:rsidR="0032357E" w:rsidRPr="00636BBF" w:rsidRDefault="0032357E" w:rsidP="0032357E">
      <w:pPr>
        <w:pStyle w:val="Web"/>
        <w:spacing w:before="0" w:after="0"/>
        <w:ind w:firstLine="708"/>
        <w:jc w:val="right"/>
        <w:rPr>
          <w:snapToGrid w:val="0"/>
          <w:color w:val="000000"/>
          <w:szCs w:val="24"/>
        </w:rPr>
      </w:pPr>
      <w:r>
        <w:rPr>
          <w:snapToGrid w:val="0"/>
          <w:color w:val="000000"/>
          <w:szCs w:val="24"/>
        </w:rPr>
        <w:t xml:space="preserve">Таблица </w:t>
      </w:r>
      <w:bookmarkStart w:id="0" w:name="_GoBack"/>
      <w:bookmarkEnd w:id="0"/>
    </w:p>
    <w:p w:rsidR="0032357E" w:rsidRPr="00636BBF" w:rsidRDefault="0032357E" w:rsidP="0032357E">
      <w:pPr>
        <w:ind w:left="360"/>
        <w:jc w:val="center"/>
        <w:outlineLvl w:val="0"/>
        <w:rPr>
          <w:b/>
        </w:rPr>
      </w:pPr>
      <w:bookmarkStart w:id="1" w:name="_Toc442856501"/>
      <w:bookmarkStart w:id="2" w:name="_Toc442859220"/>
      <w:r w:rsidRPr="00636BBF">
        <w:rPr>
          <w:b/>
        </w:rPr>
        <w:t>Объем финансовой поддержки субъектов малого и среднего предпринимательства в Игринском районе  в Целевом фонде поддержки малого предпринимательства Игринского района</w:t>
      </w:r>
      <w:bookmarkEnd w:id="1"/>
      <w:bookmarkEnd w:id="2"/>
      <w:r w:rsidRPr="00636BBF">
        <w:rPr>
          <w:b/>
        </w:rPr>
        <w:t xml:space="preserve"> </w:t>
      </w:r>
    </w:p>
    <w:p w:rsidR="0032357E" w:rsidRPr="00636BBF" w:rsidRDefault="0032357E" w:rsidP="0032357E"/>
    <w:tbl>
      <w:tblPr>
        <w:tblW w:w="96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3186"/>
        <w:gridCol w:w="950"/>
        <w:gridCol w:w="943"/>
        <w:gridCol w:w="943"/>
        <w:gridCol w:w="991"/>
        <w:gridCol w:w="1126"/>
        <w:gridCol w:w="1059"/>
      </w:tblGrid>
      <w:tr w:rsidR="0032357E" w:rsidRPr="00636BBF" w:rsidTr="005A6A56">
        <w:trPr>
          <w:trHeight w:val="648"/>
        </w:trPr>
        <w:tc>
          <w:tcPr>
            <w:tcW w:w="494"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center"/>
            </w:pPr>
            <w:r w:rsidRPr="00636BBF">
              <w:t>№</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center"/>
            </w:pPr>
            <w:r w:rsidRPr="00636BBF">
              <w:t>Показатели</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center"/>
            </w:pPr>
            <w:r w:rsidRPr="00636BBF">
              <w:t>2010</w:t>
            </w:r>
          </w:p>
          <w:p w:rsidR="0032357E" w:rsidRPr="00636BBF" w:rsidRDefault="0032357E" w:rsidP="005A6A56">
            <w:pPr>
              <w:jc w:val="center"/>
            </w:pPr>
            <w:r w:rsidRPr="00636BBF">
              <w:t>год</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center"/>
            </w:pPr>
            <w:r w:rsidRPr="00636BBF">
              <w:t>2011</w:t>
            </w:r>
          </w:p>
          <w:p w:rsidR="0032357E" w:rsidRPr="00636BBF" w:rsidRDefault="0032357E" w:rsidP="005A6A56">
            <w:pPr>
              <w:jc w:val="center"/>
            </w:pPr>
            <w:r w:rsidRPr="00636BBF">
              <w:t>год</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center"/>
            </w:pPr>
            <w:r w:rsidRPr="00636BBF">
              <w:t>2012</w:t>
            </w:r>
          </w:p>
          <w:p w:rsidR="0032357E" w:rsidRPr="00636BBF" w:rsidRDefault="0032357E" w:rsidP="005A6A56">
            <w:pPr>
              <w:jc w:val="center"/>
            </w:pPr>
            <w:r w:rsidRPr="00636BBF">
              <w:t>год</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center"/>
            </w:pPr>
            <w:r w:rsidRPr="00636BBF">
              <w:t>2013</w:t>
            </w:r>
          </w:p>
          <w:p w:rsidR="0032357E" w:rsidRPr="00636BBF" w:rsidRDefault="0032357E" w:rsidP="005A6A56">
            <w:pPr>
              <w:jc w:val="center"/>
            </w:pPr>
            <w:r w:rsidRPr="00636BBF">
              <w:t>год</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center"/>
            </w:pPr>
            <w:r w:rsidRPr="00636BBF">
              <w:t>2014</w:t>
            </w:r>
          </w:p>
          <w:p w:rsidR="0032357E" w:rsidRPr="00636BBF" w:rsidRDefault="0032357E" w:rsidP="005A6A56">
            <w:pPr>
              <w:jc w:val="center"/>
            </w:pPr>
            <w:r w:rsidRPr="00636BBF">
              <w:t xml:space="preserve">год </w:t>
            </w:r>
          </w:p>
          <w:p w:rsidR="0032357E" w:rsidRPr="00636BBF" w:rsidRDefault="0032357E" w:rsidP="005A6A56">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center"/>
            </w:pPr>
            <w:r w:rsidRPr="00636BBF">
              <w:t>2015</w:t>
            </w:r>
          </w:p>
          <w:p w:rsidR="0032357E" w:rsidRPr="00636BBF" w:rsidRDefault="0032357E" w:rsidP="005A6A56">
            <w:pPr>
              <w:jc w:val="center"/>
            </w:pPr>
            <w:r w:rsidRPr="00636BBF">
              <w:t>год</w:t>
            </w:r>
          </w:p>
        </w:tc>
      </w:tr>
      <w:tr w:rsidR="0032357E" w:rsidRPr="00636BBF" w:rsidTr="005A6A56">
        <w:trPr>
          <w:trHeight w:val="678"/>
        </w:trPr>
        <w:tc>
          <w:tcPr>
            <w:tcW w:w="494"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center"/>
            </w:pPr>
            <w:r w:rsidRPr="00636BBF">
              <w:t>1</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r w:rsidRPr="00636BBF">
              <w:t>Объем выданных займов</w:t>
            </w:r>
          </w:p>
          <w:p w:rsidR="0032357E" w:rsidRPr="00636BBF" w:rsidRDefault="0032357E" w:rsidP="005A6A56">
            <w:r w:rsidRPr="00636BBF">
              <w:t xml:space="preserve"> субъектам  малого предпринимательства</w:t>
            </w:r>
          </w:p>
          <w:p w:rsidR="0032357E" w:rsidRPr="00636BBF" w:rsidRDefault="0032357E" w:rsidP="005A6A56">
            <w:r w:rsidRPr="00636BBF">
              <w:t xml:space="preserve"> в действующих ценах, тыс.руб.</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right"/>
            </w:pPr>
          </w:p>
          <w:p w:rsidR="0032357E" w:rsidRPr="00636BBF" w:rsidRDefault="0032357E" w:rsidP="005A6A56">
            <w:pPr>
              <w:jc w:val="right"/>
            </w:pPr>
            <w:r w:rsidRPr="00636BBF">
              <w:t>2311,0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right"/>
            </w:pPr>
          </w:p>
          <w:p w:rsidR="0032357E" w:rsidRPr="00636BBF" w:rsidRDefault="0032357E" w:rsidP="005A6A56">
            <w:pPr>
              <w:jc w:val="right"/>
            </w:pPr>
            <w:r w:rsidRPr="00636BBF">
              <w:t>3324,0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right"/>
            </w:pPr>
          </w:p>
          <w:p w:rsidR="0032357E" w:rsidRPr="00636BBF" w:rsidRDefault="0032357E" w:rsidP="005A6A56">
            <w:pPr>
              <w:jc w:val="right"/>
            </w:pPr>
            <w:r w:rsidRPr="00636BBF">
              <w:t>7165,0</w:t>
            </w:r>
          </w:p>
          <w:p w:rsidR="0032357E" w:rsidRPr="00636BBF" w:rsidRDefault="0032357E" w:rsidP="005A6A56">
            <w:pPr>
              <w:jc w:val="right"/>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2357E" w:rsidRDefault="0032357E" w:rsidP="005A6A56">
            <w:pPr>
              <w:ind w:right="-100"/>
              <w:jc w:val="right"/>
            </w:pPr>
          </w:p>
          <w:p w:rsidR="0032357E" w:rsidRPr="00636BBF" w:rsidRDefault="0032357E" w:rsidP="005A6A56">
            <w:pPr>
              <w:ind w:right="-100"/>
              <w:jc w:val="center"/>
            </w:pPr>
            <w:r w:rsidRPr="00636BBF">
              <w:t>12455,4</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left"/>
            </w:pPr>
            <w:r w:rsidRPr="00636BBF">
              <w:t xml:space="preserve">       44 856,8 </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 w:rsidR="0032357E" w:rsidRPr="00636BBF" w:rsidRDefault="0032357E" w:rsidP="005A6A56">
            <w:r w:rsidRPr="00636BBF">
              <w:t>16327,5</w:t>
            </w:r>
          </w:p>
        </w:tc>
      </w:tr>
      <w:tr w:rsidR="0032357E" w:rsidRPr="00636BBF" w:rsidTr="005A6A56">
        <w:tc>
          <w:tcPr>
            <w:tcW w:w="494"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center"/>
            </w:pPr>
            <w:r w:rsidRPr="00636BBF">
              <w:t>3</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r w:rsidRPr="00636BBF">
              <w:t>Количество заключенных договоров займа с субъектами малого предпринимательства, ед.</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right"/>
            </w:pPr>
            <w:r w:rsidRPr="00636BBF">
              <w:t>32</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right"/>
            </w:pPr>
            <w:r w:rsidRPr="00636BBF">
              <w:t>35</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right"/>
            </w:pPr>
            <w:r w:rsidRPr="00636BBF">
              <w:t>40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right"/>
            </w:pPr>
            <w:r w:rsidRPr="00636BBF">
              <w:t>62</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tabs>
                <w:tab w:val="center" w:pos="1374"/>
              </w:tabs>
            </w:pPr>
            <w:r w:rsidRPr="00636BBF">
              <w:t xml:space="preserve">          91</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tabs>
                <w:tab w:val="center" w:pos="1374"/>
              </w:tabs>
            </w:pPr>
            <w:r w:rsidRPr="00636BBF">
              <w:t>39</w:t>
            </w:r>
          </w:p>
        </w:tc>
      </w:tr>
      <w:tr w:rsidR="0032357E" w:rsidRPr="00636BBF" w:rsidTr="005A6A56">
        <w:tc>
          <w:tcPr>
            <w:tcW w:w="494"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center"/>
            </w:pPr>
            <w:r w:rsidRPr="00636BBF">
              <w:t>3</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r w:rsidRPr="00636BBF">
              <w:t>Средняя сумма займа, руб.</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right"/>
            </w:pPr>
            <w:r w:rsidRPr="00636BBF">
              <w:t>72,2</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right"/>
            </w:pPr>
            <w:r w:rsidRPr="00636BBF">
              <w:t>94,9</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right"/>
            </w:pPr>
            <w:r w:rsidRPr="00636BBF">
              <w:t>179,1</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jc w:val="right"/>
            </w:pPr>
            <w:r w:rsidRPr="00636BBF">
              <w:t>200,9</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tabs>
                <w:tab w:val="center" w:pos="1374"/>
              </w:tabs>
              <w:jc w:val="center"/>
            </w:pPr>
            <w:r w:rsidRPr="00636BBF">
              <w:t>411,5</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2357E" w:rsidRPr="00636BBF" w:rsidRDefault="0032357E" w:rsidP="005A6A56">
            <w:pPr>
              <w:tabs>
                <w:tab w:val="center" w:pos="1374"/>
              </w:tabs>
            </w:pPr>
            <w:r w:rsidRPr="00636BBF">
              <w:t>418,6</w:t>
            </w:r>
          </w:p>
        </w:tc>
      </w:tr>
    </w:tbl>
    <w:p w:rsidR="0032357E" w:rsidRPr="00636BBF" w:rsidRDefault="0032357E" w:rsidP="0032357E">
      <w:pPr>
        <w:rPr>
          <w:b/>
        </w:rPr>
      </w:pPr>
    </w:p>
    <w:p w:rsidR="0032357E" w:rsidRPr="00636BBF" w:rsidRDefault="0032357E" w:rsidP="0032357E">
      <w:r>
        <w:t xml:space="preserve">      </w:t>
      </w:r>
      <w:r w:rsidRPr="00636BBF">
        <w:t>Объем  и количество выданных займов  ЦМФПМП Игринского района осуществлялся за счет возвратных средств заемщиков. Дополнительные средства из  бюджета Удмуртской Республики на микрофинансирование в 2015году  не поступали.</w:t>
      </w:r>
    </w:p>
    <w:p w:rsidR="0032357E" w:rsidRDefault="0032357E" w:rsidP="0032357E">
      <w:pPr>
        <w:spacing w:beforeLines="40" w:before="96" w:afterLines="40" w:after="96"/>
        <w:ind w:rightChars="-1" w:right="-2" w:firstLine="851"/>
      </w:pPr>
      <w:r w:rsidRPr="002571E3">
        <w:t xml:space="preserve">  </w:t>
      </w:r>
    </w:p>
    <w:p w:rsidR="004615DB" w:rsidRDefault="004615DB"/>
    <w:sectPr w:rsidR="00461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A28CD"/>
    <w:multiLevelType w:val="hybridMultilevel"/>
    <w:tmpl w:val="FF82E21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DC"/>
    <w:rsid w:val="0032357E"/>
    <w:rsid w:val="004615DB"/>
    <w:rsid w:val="00951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7E"/>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32357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57E"/>
    <w:rPr>
      <w:rFonts w:ascii="Arial" w:eastAsia="Times New Roman" w:hAnsi="Arial" w:cs="Arial"/>
      <w:b/>
      <w:bCs/>
      <w:kern w:val="32"/>
      <w:sz w:val="32"/>
      <w:szCs w:val="32"/>
      <w:lang w:eastAsia="ru-RU"/>
    </w:rPr>
  </w:style>
  <w:style w:type="paragraph" w:styleId="a3">
    <w:name w:val="List Paragraph"/>
    <w:basedOn w:val="a"/>
    <w:uiPriority w:val="34"/>
    <w:qFormat/>
    <w:rsid w:val="0032357E"/>
    <w:pPr>
      <w:keepNext/>
      <w:widowControl w:val="0"/>
      <w:suppressAutoHyphens/>
      <w:spacing w:before="100" w:after="100"/>
    </w:pPr>
    <w:rPr>
      <w:rFonts w:eastAsia="Calibri"/>
      <w:kern w:val="1"/>
    </w:rPr>
  </w:style>
  <w:style w:type="paragraph" w:customStyle="1" w:styleId="Web">
    <w:name w:val="Обычный (Web)"/>
    <w:basedOn w:val="a"/>
    <w:rsid w:val="0032357E"/>
    <w:pPr>
      <w:spacing w:before="100" w:after="100"/>
      <w:jc w:val="left"/>
    </w:pPr>
    <w:rPr>
      <w:szCs w:val="20"/>
    </w:rPr>
  </w:style>
  <w:style w:type="paragraph" w:styleId="a4">
    <w:name w:val="No Spacing"/>
    <w:uiPriority w:val="1"/>
    <w:qFormat/>
    <w:rsid w:val="0032357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7E"/>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32357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57E"/>
    <w:rPr>
      <w:rFonts w:ascii="Arial" w:eastAsia="Times New Roman" w:hAnsi="Arial" w:cs="Arial"/>
      <w:b/>
      <w:bCs/>
      <w:kern w:val="32"/>
      <w:sz w:val="32"/>
      <w:szCs w:val="32"/>
      <w:lang w:eastAsia="ru-RU"/>
    </w:rPr>
  </w:style>
  <w:style w:type="paragraph" w:styleId="a3">
    <w:name w:val="List Paragraph"/>
    <w:basedOn w:val="a"/>
    <w:uiPriority w:val="34"/>
    <w:qFormat/>
    <w:rsid w:val="0032357E"/>
    <w:pPr>
      <w:keepNext/>
      <w:widowControl w:val="0"/>
      <w:suppressAutoHyphens/>
      <w:spacing w:before="100" w:after="100"/>
    </w:pPr>
    <w:rPr>
      <w:rFonts w:eastAsia="Calibri"/>
      <w:kern w:val="1"/>
    </w:rPr>
  </w:style>
  <w:style w:type="paragraph" w:customStyle="1" w:styleId="Web">
    <w:name w:val="Обычный (Web)"/>
    <w:basedOn w:val="a"/>
    <w:rsid w:val="0032357E"/>
    <w:pPr>
      <w:spacing w:before="100" w:after="100"/>
      <w:jc w:val="left"/>
    </w:pPr>
    <w:rPr>
      <w:szCs w:val="20"/>
    </w:rPr>
  </w:style>
  <w:style w:type="paragraph" w:styleId="a4">
    <w:name w:val="No Spacing"/>
    <w:uiPriority w:val="1"/>
    <w:qFormat/>
    <w:rsid w:val="003235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dc:creator>
  <cp:keywords/>
  <dc:description/>
  <cp:lastModifiedBy>Садыков</cp:lastModifiedBy>
  <cp:revision>2</cp:revision>
  <dcterms:created xsi:type="dcterms:W3CDTF">2016-05-06T04:50:00Z</dcterms:created>
  <dcterms:modified xsi:type="dcterms:W3CDTF">2016-05-06T04:51:00Z</dcterms:modified>
</cp:coreProperties>
</file>